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C9" w:rsidRPr="00F20A23" w:rsidRDefault="003119C9" w:rsidP="003119C9">
      <w:pPr>
        <w:ind w:firstLine="567"/>
        <w:jc w:val="both"/>
        <w:rPr>
          <w:b/>
          <w:sz w:val="28"/>
          <w:szCs w:val="28"/>
        </w:rPr>
      </w:pPr>
      <w:r w:rsidRPr="00F20A23">
        <w:rPr>
          <w:b/>
          <w:sz w:val="28"/>
          <w:szCs w:val="28"/>
        </w:rPr>
        <w:t>Объявление о проведени</w:t>
      </w:r>
      <w:r>
        <w:rPr>
          <w:b/>
          <w:sz w:val="28"/>
          <w:szCs w:val="28"/>
        </w:rPr>
        <w:t>и</w:t>
      </w:r>
      <w:r w:rsidRPr="00F20A23">
        <w:rPr>
          <w:b/>
          <w:sz w:val="28"/>
          <w:szCs w:val="28"/>
        </w:rPr>
        <w:t xml:space="preserve"> конкурсного отбора претендентов на получение в 2022 году муниципальной поддержки в виде субсидии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</w:t>
      </w:r>
      <w:r w:rsidR="00DF1D74">
        <w:rPr>
          <w:b/>
          <w:sz w:val="28"/>
          <w:szCs w:val="28"/>
        </w:rPr>
        <w:t>ого округа Ставропольского края</w:t>
      </w:r>
    </w:p>
    <w:p w:rsidR="003119C9" w:rsidRPr="00F20A23" w:rsidRDefault="003119C9" w:rsidP="003119C9">
      <w:pPr>
        <w:pStyle w:val="a3"/>
        <w:ind w:firstLine="567"/>
        <w:jc w:val="both"/>
        <w:rPr>
          <w:b/>
        </w:rPr>
      </w:pPr>
    </w:p>
    <w:p w:rsidR="003119C9" w:rsidRPr="00052377" w:rsidRDefault="003119C9" w:rsidP="003119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2377">
        <w:rPr>
          <w:rFonts w:ascii="Times New Roman" w:hAnsi="Times New Roman"/>
          <w:sz w:val="28"/>
          <w:szCs w:val="28"/>
        </w:rPr>
        <w:t>Администрация Новоалександровского городского округа Ставропольского края объявляет о начале проведения конкурсного отбора претендентов на получение в 2022 году муниципальной поддержки в виде субсидии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городского округа Ставропольского края.</w:t>
      </w:r>
    </w:p>
    <w:p w:rsidR="003119C9" w:rsidRPr="00052377" w:rsidRDefault="003119C9" w:rsidP="003119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52377">
        <w:rPr>
          <w:rFonts w:ascii="Times New Roman" w:hAnsi="Times New Roman"/>
          <w:sz w:val="28"/>
          <w:szCs w:val="28"/>
        </w:rPr>
        <w:t>аявки для участия в конкурсном отборе принимаются в период с 06 июня 2022 г</w:t>
      </w:r>
      <w:r>
        <w:rPr>
          <w:rFonts w:ascii="Times New Roman" w:hAnsi="Times New Roman"/>
          <w:sz w:val="28"/>
          <w:szCs w:val="28"/>
        </w:rPr>
        <w:t>ода</w:t>
      </w:r>
      <w:r w:rsidRPr="00052377">
        <w:rPr>
          <w:rFonts w:ascii="Times New Roman" w:hAnsi="Times New Roman"/>
          <w:sz w:val="28"/>
          <w:szCs w:val="28"/>
        </w:rPr>
        <w:t xml:space="preserve"> по 06 июля 2022 г</w:t>
      </w:r>
      <w:r>
        <w:rPr>
          <w:rFonts w:ascii="Times New Roman" w:hAnsi="Times New Roman"/>
          <w:sz w:val="28"/>
          <w:szCs w:val="28"/>
        </w:rPr>
        <w:t>ода</w:t>
      </w:r>
      <w:r w:rsidRPr="00052377">
        <w:rPr>
          <w:rFonts w:ascii="Times New Roman" w:hAnsi="Times New Roman"/>
          <w:sz w:val="28"/>
          <w:szCs w:val="28"/>
        </w:rPr>
        <w:t>. Рассмотрение заявок на предмет допуска к участию в конкурсном отборе осуществляется с 07 июля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052377">
        <w:rPr>
          <w:rFonts w:ascii="Times New Roman" w:hAnsi="Times New Roman"/>
          <w:sz w:val="28"/>
          <w:szCs w:val="28"/>
        </w:rPr>
        <w:t xml:space="preserve"> по 14 июля 2022 г</w:t>
      </w:r>
      <w:r>
        <w:rPr>
          <w:rFonts w:ascii="Times New Roman" w:hAnsi="Times New Roman"/>
          <w:sz w:val="28"/>
          <w:szCs w:val="28"/>
        </w:rPr>
        <w:t>ода</w:t>
      </w:r>
      <w:r w:rsidRPr="00052377">
        <w:rPr>
          <w:rFonts w:ascii="Times New Roman" w:hAnsi="Times New Roman"/>
          <w:sz w:val="28"/>
          <w:szCs w:val="28"/>
        </w:rPr>
        <w:t xml:space="preserve">. Подведение итогов конкурсного отбора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Pr="00052377">
        <w:rPr>
          <w:rFonts w:ascii="Times New Roman" w:hAnsi="Times New Roman"/>
          <w:sz w:val="28"/>
          <w:szCs w:val="28"/>
        </w:rPr>
        <w:t>15 июля 2022 г</w:t>
      </w:r>
      <w:r>
        <w:rPr>
          <w:rFonts w:ascii="Times New Roman" w:hAnsi="Times New Roman"/>
          <w:sz w:val="28"/>
          <w:szCs w:val="28"/>
        </w:rPr>
        <w:t>ода</w:t>
      </w:r>
      <w:r w:rsidRPr="00052377">
        <w:rPr>
          <w:rFonts w:ascii="Times New Roman" w:hAnsi="Times New Roman"/>
          <w:sz w:val="28"/>
          <w:szCs w:val="28"/>
        </w:rPr>
        <w:t>.</w:t>
      </w:r>
    </w:p>
    <w:p w:rsidR="003119C9" w:rsidRPr="00052377" w:rsidRDefault="003119C9" w:rsidP="003119C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2377">
        <w:rPr>
          <w:rFonts w:ascii="Times New Roman" w:hAnsi="Times New Roman"/>
          <w:sz w:val="28"/>
          <w:szCs w:val="28"/>
        </w:rPr>
        <w:t xml:space="preserve">Прием документов для участия в конкурсном отборе осуществляется </w:t>
      </w:r>
      <w:bookmarkStart w:id="0" w:name="_GoBack"/>
      <w:bookmarkEnd w:id="0"/>
      <w:r w:rsidRPr="00052377">
        <w:rPr>
          <w:rFonts w:ascii="Times New Roman" w:hAnsi="Times New Roman"/>
          <w:sz w:val="28"/>
          <w:szCs w:val="28"/>
        </w:rPr>
        <w:t xml:space="preserve">по адресу: 356000, Ставропольский край, г. Новоалександровск, ул. Гагарина, 315, администрация Новоалександровского городского округа Ставропольского края, отдел экономического развития администрации Новоалександровского городского округа Ставропольского края (кабинет № 32) в рабочие дни с 08 час. 00 мин. до 12 час. 00 мин. и с 13 час. 00 мин. до 17 </w:t>
      </w:r>
      <w:proofErr w:type="gramStart"/>
      <w:r w:rsidRPr="00052377">
        <w:rPr>
          <w:rFonts w:ascii="Times New Roman" w:hAnsi="Times New Roman"/>
          <w:sz w:val="28"/>
          <w:szCs w:val="28"/>
        </w:rPr>
        <w:t>час</w:t>
      </w:r>
      <w:proofErr w:type="gramEnd"/>
      <w:r w:rsidRPr="00052377">
        <w:rPr>
          <w:rFonts w:ascii="Times New Roman" w:hAnsi="Times New Roman"/>
          <w:sz w:val="28"/>
          <w:szCs w:val="28"/>
        </w:rPr>
        <w:t>. 00 мин по московскому времени ежедневно, кроме выходных дней: суббота и воскресенье.</w:t>
      </w:r>
    </w:p>
    <w:p w:rsidR="003119C9" w:rsidRDefault="003119C9" w:rsidP="003119C9">
      <w:pPr>
        <w:ind w:firstLine="708"/>
        <w:jc w:val="both"/>
        <w:rPr>
          <w:sz w:val="28"/>
          <w:szCs w:val="28"/>
        </w:rPr>
      </w:pPr>
      <w:r w:rsidRPr="00052377">
        <w:rPr>
          <w:sz w:val="28"/>
          <w:szCs w:val="28"/>
        </w:rPr>
        <w:t>Субсидии предоставляются администрацией Новоалександровского городского округа Ставропольского края субъектам предпринимательства</w:t>
      </w:r>
      <w:r w:rsidRPr="005C775C">
        <w:rPr>
          <w:sz w:val="28"/>
          <w:szCs w:val="28"/>
        </w:rPr>
        <w:t xml:space="preserve">, соответствующим условиям и требованиям, установленным статьями 4, 14.1 Федерального закона от 24 июля 2007 г. № 209-ФЗ «О развитии малого и среднего предпринимательства в Российской Федерации», зарегистрированным и осуществляющим деятельность на территории </w:t>
      </w:r>
      <w:r>
        <w:rPr>
          <w:sz w:val="28"/>
          <w:szCs w:val="28"/>
        </w:rPr>
        <w:t>Новоалександровского</w:t>
      </w:r>
      <w:r w:rsidRPr="005C775C">
        <w:rPr>
          <w:sz w:val="28"/>
          <w:szCs w:val="28"/>
        </w:rPr>
        <w:t xml:space="preserve"> городского округа Ставропольского края по следующим направлениям</w:t>
      </w:r>
      <w:r w:rsidRPr="005C775C">
        <w:rPr>
          <w:b/>
          <w:sz w:val="28"/>
          <w:szCs w:val="28"/>
        </w:rPr>
        <w:t xml:space="preserve"> </w:t>
      </w:r>
      <w:r w:rsidRPr="005C775C">
        <w:rPr>
          <w:sz w:val="28"/>
          <w:szCs w:val="28"/>
        </w:rPr>
        <w:t>предпринимательства: в области промышленного производства и инноваций, сельскохозяйственного производства, торговли, ремесленной и внешнеэкономической деятельности, образования (включая обучение</w:t>
      </w:r>
      <w:r>
        <w:rPr>
          <w:sz w:val="28"/>
          <w:szCs w:val="28"/>
        </w:rPr>
        <w:t>-</w:t>
      </w:r>
      <w:r w:rsidRPr="005C775C">
        <w:rPr>
          <w:sz w:val="28"/>
          <w:szCs w:val="28"/>
        </w:rPr>
        <w:t xml:space="preserve">переобучение кадров), здравоохранения, физической культуры и спорта, жилищно-коммунального хозяйства, транспорта, оказания услуг населению и общественного питания, инфраструктуры </w:t>
      </w:r>
      <w:r>
        <w:rPr>
          <w:sz w:val="28"/>
          <w:szCs w:val="28"/>
        </w:rPr>
        <w:t>Новоалександровского</w:t>
      </w:r>
      <w:r w:rsidRPr="00F71307">
        <w:rPr>
          <w:sz w:val="28"/>
          <w:szCs w:val="28"/>
        </w:rPr>
        <w:t xml:space="preserve"> </w:t>
      </w:r>
      <w:r w:rsidRPr="005C775C">
        <w:rPr>
          <w:sz w:val="28"/>
          <w:szCs w:val="28"/>
        </w:rPr>
        <w:t>городского округа (в том числе развлекательной).</w:t>
      </w:r>
    </w:p>
    <w:p w:rsidR="003119C9" w:rsidRPr="004B591A" w:rsidRDefault="003119C9" w:rsidP="003119C9">
      <w:pPr>
        <w:ind w:firstLine="567"/>
        <w:jc w:val="both"/>
        <w:rPr>
          <w:sz w:val="28"/>
          <w:szCs w:val="28"/>
        </w:rPr>
      </w:pPr>
      <w:r w:rsidRPr="004B591A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Pr="004B591A">
        <w:rPr>
          <w:sz w:val="28"/>
          <w:szCs w:val="28"/>
        </w:rPr>
        <w:t xml:space="preserve"> предоставляются на финанс</w:t>
      </w:r>
      <w:r>
        <w:rPr>
          <w:sz w:val="28"/>
          <w:szCs w:val="28"/>
        </w:rPr>
        <w:t>ово</w:t>
      </w:r>
      <w:r w:rsidRPr="004B591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обеспечение </w:t>
      </w:r>
      <w:r w:rsidRPr="004B591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4B591A">
        <w:rPr>
          <w:sz w:val="28"/>
          <w:szCs w:val="28"/>
        </w:rPr>
        <w:t>расходов, произведенных</w:t>
      </w:r>
      <w:r>
        <w:rPr>
          <w:sz w:val="28"/>
          <w:szCs w:val="28"/>
        </w:rPr>
        <w:t xml:space="preserve"> </w:t>
      </w:r>
      <w:r w:rsidRPr="004B591A">
        <w:rPr>
          <w:sz w:val="28"/>
          <w:szCs w:val="28"/>
        </w:rPr>
        <w:t xml:space="preserve">субъектами малого </w:t>
      </w:r>
      <w:r>
        <w:rPr>
          <w:sz w:val="28"/>
          <w:szCs w:val="28"/>
        </w:rPr>
        <w:t xml:space="preserve">и среднего </w:t>
      </w:r>
      <w:r w:rsidRPr="004B591A">
        <w:rPr>
          <w:sz w:val="28"/>
          <w:szCs w:val="28"/>
        </w:rPr>
        <w:t>предпринимательства,</w:t>
      </w:r>
      <w:r>
        <w:rPr>
          <w:sz w:val="28"/>
          <w:szCs w:val="28"/>
        </w:rPr>
        <w:t xml:space="preserve"> </w:t>
      </w:r>
      <w:r w:rsidRPr="004B591A">
        <w:rPr>
          <w:sz w:val="28"/>
          <w:szCs w:val="28"/>
        </w:rPr>
        <w:t>на следующие цели:</w:t>
      </w:r>
    </w:p>
    <w:p w:rsidR="003119C9" w:rsidRPr="004B591A" w:rsidRDefault="003119C9" w:rsidP="00311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91A">
        <w:rPr>
          <w:sz w:val="28"/>
          <w:szCs w:val="28"/>
        </w:rPr>
        <w:t>разработка Интернет-сайтов, программного обеспечения;</w:t>
      </w:r>
    </w:p>
    <w:p w:rsidR="003119C9" w:rsidRPr="004B591A" w:rsidRDefault="003119C9" w:rsidP="00311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B591A">
        <w:rPr>
          <w:sz w:val="28"/>
          <w:szCs w:val="28"/>
        </w:rPr>
        <w:t xml:space="preserve">приобретение производственных помещений, технологического и офисного оборудования, автотранспортных средств, производственного </w:t>
      </w:r>
      <w:r>
        <w:rPr>
          <w:sz w:val="28"/>
          <w:szCs w:val="28"/>
        </w:rPr>
        <w:t xml:space="preserve">инвентаря и </w:t>
      </w:r>
      <w:r w:rsidRPr="007706F4">
        <w:rPr>
          <w:sz w:val="28"/>
          <w:szCs w:val="28"/>
        </w:rPr>
        <w:t>малоценного</w:t>
      </w:r>
      <w:r w:rsidRPr="004B5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имущества, </w:t>
      </w:r>
      <w:r w:rsidRPr="004B591A">
        <w:rPr>
          <w:sz w:val="28"/>
          <w:szCs w:val="28"/>
        </w:rPr>
        <w:t>прочих основных средств;</w:t>
      </w:r>
    </w:p>
    <w:p w:rsidR="003119C9" w:rsidRPr="004B591A" w:rsidRDefault="003119C9" w:rsidP="00311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91A">
        <w:rPr>
          <w:sz w:val="28"/>
          <w:szCs w:val="28"/>
        </w:rPr>
        <w:t>приобретение программного обеспечения;</w:t>
      </w:r>
    </w:p>
    <w:p w:rsidR="003119C9" w:rsidRPr="004B591A" w:rsidRDefault="003119C9" w:rsidP="00311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91A">
        <w:rPr>
          <w:sz w:val="28"/>
          <w:szCs w:val="28"/>
        </w:rPr>
        <w:t>приобретение строительных материалов;</w:t>
      </w:r>
    </w:p>
    <w:p w:rsidR="003119C9" w:rsidRPr="004B591A" w:rsidRDefault="003119C9" w:rsidP="00311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91A">
        <w:rPr>
          <w:sz w:val="28"/>
          <w:szCs w:val="28"/>
        </w:rPr>
        <w:t>обучение в целях повышения квалификаци</w:t>
      </w:r>
      <w:r>
        <w:rPr>
          <w:sz w:val="28"/>
          <w:szCs w:val="28"/>
        </w:rPr>
        <w:t>и</w:t>
      </w:r>
      <w:r w:rsidRPr="004B591A">
        <w:rPr>
          <w:sz w:val="28"/>
          <w:szCs w:val="28"/>
        </w:rPr>
        <w:t>, профессиональная подготовка и переподготовка кадров, в том числе по охране труда, пожарной безопасности;</w:t>
      </w:r>
    </w:p>
    <w:p w:rsidR="003119C9" w:rsidRPr="004B591A" w:rsidRDefault="003119C9" w:rsidP="00311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91A">
        <w:rPr>
          <w:sz w:val="28"/>
          <w:szCs w:val="28"/>
        </w:rPr>
        <w:t>аренда нежилых помещений, используемых для осуществления предпринимательской деятельности;</w:t>
      </w:r>
    </w:p>
    <w:p w:rsidR="003119C9" w:rsidRPr="004B591A" w:rsidRDefault="003119C9" w:rsidP="00311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91A">
        <w:rPr>
          <w:sz w:val="28"/>
          <w:szCs w:val="28"/>
        </w:rPr>
        <w:t>строительство, реконструкция здания (части здания), сооружения;</w:t>
      </w:r>
    </w:p>
    <w:p w:rsidR="003119C9" w:rsidRPr="004B591A" w:rsidRDefault="003119C9" w:rsidP="00311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91A">
        <w:rPr>
          <w:sz w:val="28"/>
          <w:szCs w:val="28"/>
        </w:rPr>
        <w:t>лицензирование предпринимательской деятельности и сертификация продукции (работ, услуг);</w:t>
      </w:r>
    </w:p>
    <w:p w:rsidR="003119C9" w:rsidRPr="004B591A" w:rsidRDefault="003119C9" w:rsidP="00311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91A">
        <w:rPr>
          <w:sz w:val="28"/>
          <w:szCs w:val="28"/>
        </w:rPr>
        <w:t>организация доступа к телефонной связи (установка телефонов);</w:t>
      </w:r>
    </w:p>
    <w:p w:rsidR="003119C9" w:rsidRPr="004B591A" w:rsidRDefault="003119C9" w:rsidP="003119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91A">
        <w:rPr>
          <w:sz w:val="28"/>
          <w:szCs w:val="28"/>
        </w:rPr>
        <w:t>подключение к инженерным сетям, включая электроснабжение, водоснабжение и водоотвод</w:t>
      </w:r>
      <w:r>
        <w:rPr>
          <w:sz w:val="28"/>
          <w:szCs w:val="28"/>
        </w:rPr>
        <w:t>, теплоснабжение.</w:t>
      </w:r>
    </w:p>
    <w:p w:rsidR="003119C9" w:rsidRPr="005C775C" w:rsidRDefault="003119C9" w:rsidP="003119C9">
      <w:pPr>
        <w:ind w:firstLine="567"/>
        <w:jc w:val="both"/>
        <w:rPr>
          <w:sz w:val="28"/>
          <w:szCs w:val="28"/>
        </w:rPr>
      </w:pPr>
      <w:r w:rsidRPr="004B591A">
        <w:rPr>
          <w:sz w:val="28"/>
          <w:szCs w:val="28"/>
        </w:rPr>
        <w:t>Субсидии предоставляются на финанс</w:t>
      </w:r>
      <w:r>
        <w:rPr>
          <w:sz w:val="28"/>
          <w:szCs w:val="28"/>
        </w:rPr>
        <w:t>ово</w:t>
      </w:r>
      <w:r w:rsidRPr="004B591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обеспечение </w:t>
      </w:r>
      <w:r w:rsidRPr="004B591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4B591A">
        <w:rPr>
          <w:sz w:val="28"/>
          <w:szCs w:val="28"/>
        </w:rPr>
        <w:t>расходов, произведенных</w:t>
      </w:r>
      <w:r>
        <w:rPr>
          <w:sz w:val="28"/>
          <w:szCs w:val="28"/>
        </w:rPr>
        <w:t xml:space="preserve"> </w:t>
      </w:r>
      <w:r w:rsidRPr="004B591A">
        <w:rPr>
          <w:sz w:val="28"/>
          <w:szCs w:val="28"/>
        </w:rPr>
        <w:t xml:space="preserve">субъектами малого </w:t>
      </w:r>
      <w:r>
        <w:rPr>
          <w:sz w:val="28"/>
          <w:szCs w:val="28"/>
        </w:rPr>
        <w:t xml:space="preserve">и среднего </w:t>
      </w:r>
      <w:r w:rsidRPr="004B591A">
        <w:rPr>
          <w:sz w:val="28"/>
          <w:szCs w:val="28"/>
        </w:rPr>
        <w:t>предпринимательства,</w:t>
      </w:r>
      <w:r>
        <w:rPr>
          <w:sz w:val="28"/>
          <w:szCs w:val="28"/>
        </w:rPr>
        <w:t xml:space="preserve"> </w:t>
      </w:r>
      <w:r w:rsidRPr="005C775C">
        <w:rPr>
          <w:sz w:val="28"/>
          <w:szCs w:val="28"/>
        </w:rPr>
        <w:t>за исключением затрат на: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оплату труда сотрудников юридического лица – заявителя, либо самого заявителя -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доход», и их наемных работников;</w:t>
      </w:r>
    </w:p>
    <w:p w:rsidR="003119C9" w:rsidRPr="005C775C" w:rsidRDefault="003119C9" w:rsidP="003119C9">
      <w:pPr>
        <w:ind w:firstLine="70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5C775C">
        <w:rPr>
          <w:color w:val="000000"/>
          <w:spacing w:val="-8"/>
          <w:sz w:val="28"/>
          <w:szCs w:val="28"/>
        </w:rPr>
        <w:t>оплату кредита и процентов по кредиту;</w:t>
      </w:r>
    </w:p>
    <w:p w:rsidR="003119C9" w:rsidRDefault="003119C9" w:rsidP="003119C9">
      <w:pPr>
        <w:ind w:firstLine="70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Pr="005C775C">
        <w:rPr>
          <w:color w:val="000000"/>
          <w:spacing w:val="-8"/>
          <w:sz w:val="28"/>
          <w:szCs w:val="28"/>
        </w:rPr>
        <w:t>уплату налогов и сборов в бюджеты всех уровней.</w:t>
      </w:r>
    </w:p>
    <w:p w:rsidR="003119C9" w:rsidRPr="005C775C" w:rsidRDefault="003119C9" w:rsidP="00311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5C775C">
        <w:rPr>
          <w:sz w:val="28"/>
          <w:szCs w:val="28"/>
        </w:rPr>
        <w:t xml:space="preserve"> предоставляются субъектам предпринимательства при условии вложения собственных средств в размере </w:t>
      </w:r>
      <w:r>
        <w:rPr>
          <w:sz w:val="28"/>
          <w:szCs w:val="28"/>
        </w:rPr>
        <w:t>20</w:t>
      </w:r>
      <w:r w:rsidRPr="005C775C">
        <w:rPr>
          <w:sz w:val="28"/>
          <w:szCs w:val="28"/>
        </w:rPr>
        <w:t xml:space="preserve"> процентов от суммы проекта.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5C775C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5C775C">
        <w:rPr>
          <w:sz w:val="28"/>
          <w:szCs w:val="28"/>
        </w:rPr>
        <w:t>тся субъектам предпринимательства, за исключением субъектов предпринимательства: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881C11"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881C11"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881C11"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881C11"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881C11">
        <w:rPr>
          <w:sz w:val="28"/>
          <w:szCs w:val="28"/>
        </w:rPr>
        <w:lastRenderedPageBreak/>
        <w:t xml:space="preserve">- </w:t>
      </w:r>
      <w:r w:rsidRPr="005C775C">
        <w:rPr>
          <w:sz w:val="28"/>
          <w:szCs w:val="28"/>
        </w:rPr>
        <w:t>в отношении которых ранее было принято решение об оказании аналогичной поддержки и сроки ее не истекли.</w:t>
      </w:r>
    </w:p>
    <w:p w:rsidR="003119C9" w:rsidRPr="005C775C" w:rsidRDefault="003119C9" w:rsidP="003119C9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Субсидии</w:t>
      </w:r>
      <w:r w:rsidRPr="005C775C">
        <w:rPr>
          <w:rFonts w:eastAsia="Calibri"/>
          <w:color w:val="000000"/>
          <w:sz w:val="28"/>
          <w:szCs w:val="28"/>
        </w:rPr>
        <w:t xml:space="preserve"> предоставляется субъекту предпринимательства при соответствии его следующим условиям и требованиям: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 xml:space="preserve">у участника конкурсного отбора на </w:t>
      </w:r>
      <w:r>
        <w:rPr>
          <w:sz w:val="28"/>
          <w:szCs w:val="28"/>
        </w:rPr>
        <w:t>дату подачи заявки, на участие в конкурсном отборе</w:t>
      </w:r>
      <w:r w:rsidRPr="005C775C">
        <w:rPr>
          <w:sz w:val="28"/>
          <w:szCs w:val="28"/>
        </w:rPr>
        <w:t>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 xml:space="preserve">у участника конкурсного отбора на </w:t>
      </w:r>
      <w:r>
        <w:rPr>
          <w:sz w:val="28"/>
          <w:szCs w:val="28"/>
        </w:rPr>
        <w:t>дату подачи заявки, на участие в конкурсном отборе</w:t>
      </w:r>
      <w:r w:rsidRPr="005C775C">
        <w:rPr>
          <w:sz w:val="28"/>
          <w:szCs w:val="28"/>
        </w:rPr>
        <w:t xml:space="preserve">, отсутствует просроченная задолженность по возврату в бюджет </w:t>
      </w:r>
      <w:r>
        <w:rPr>
          <w:sz w:val="28"/>
          <w:szCs w:val="28"/>
        </w:rPr>
        <w:t>Новоалександровского</w:t>
      </w:r>
      <w:r w:rsidRPr="005C775C">
        <w:rPr>
          <w:sz w:val="28"/>
          <w:szCs w:val="28"/>
        </w:rPr>
        <w:t xml:space="preserve">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>
        <w:rPr>
          <w:sz w:val="28"/>
          <w:szCs w:val="28"/>
        </w:rPr>
        <w:t>Новоалександровским</w:t>
      </w:r>
      <w:proofErr w:type="spellEnd"/>
      <w:r w:rsidRPr="005C775C">
        <w:rPr>
          <w:sz w:val="28"/>
          <w:szCs w:val="28"/>
        </w:rPr>
        <w:t xml:space="preserve"> городским округом;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участник конкурсного отбора - юридическое лицо на дату подачи заявки не должен находиться в процессе ликвидации, реорганизации, в отношении него не введена процедура банкротства, деятельность участника конкурсного отбора не должна быть приостановлена в порядке, предусмотренном законодательством Российский Федерации, а участник конкурсного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лице, не являющемся индивидуальным предпринимателем и применяющем специальный налоговый режим «Налог на профессиональный доход»;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 xml:space="preserve">участник конкурсного отбора не получает </w:t>
      </w:r>
      <w:r w:rsidRPr="005C775C">
        <w:rPr>
          <w:rFonts w:eastAsia="Calibri"/>
          <w:color w:val="000000"/>
          <w:sz w:val="28"/>
          <w:szCs w:val="28"/>
        </w:rPr>
        <w:t xml:space="preserve">на дату подачи заявки средства из бюджета </w:t>
      </w:r>
      <w:r>
        <w:rPr>
          <w:rFonts w:eastAsia="Calibri"/>
          <w:color w:val="000000"/>
          <w:sz w:val="28"/>
          <w:szCs w:val="28"/>
        </w:rPr>
        <w:t xml:space="preserve">Новоалександровского </w:t>
      </w:r>
      <w:r w:rsidRPr="005C775C">
        <w:rPr>
          <w:rFonts w:eastAsia="Calibri"/>
          <w:color w:val="000000"/>
          <w:sz w:val="28"/>
          <w:szCs w:val="28"/>
        </w:rPr>
        <w:t>городского округа</w:t>
      </w:r>
      <w:r w:rsidRPr="005C775C">
        <w:rPr>
          <w:sz w:val="28"/>
          <w:szCs w:val="28"/>
        </w:rPr>
        <w:t>, в соответствии с иными правовыми актами</w:t>
      </w:r>
      <w:r>
        <w:rPr>
          <w:sz w:val="28"/>
          <w:szCs w:val="28"/>
        </w:rPr>
        <w:t>.</w:t>
      </w:r>
      <w:r w:rsidRPr="005C775C">
        <w:rPr>
          <w:sz w:val="28"/>
          <w:szCs w:val="28"/>
        </w:rPr>
        <w:t xml:space="preserve"> 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 xml:space="preserve">Для участия в конкурсном отборе в срок подачи конкурсных заявок субъект предпринимательства представляет в администрацию </w:t>
      </w:r>
      <w:r>
        <w:rPr>
          <w:sz w:val="28"/>
          <w:szCs w:val="28"/>
        </w:rPr>
        <w:t>Новоалександровского</w:t>
      </w:r>
      <w:r w:rsidRPr="005C775C">
        <w:rPr>
          <w:sz w:val="28"/>
          <w:szCs w:val="28"/>
        </w:rPr>
        <w:t xml:space="preserve"> городского округа следующие документы:</w:t>
      </w:r>
    </w:p>
    <w:p w:rsidR="003119C9" w:rsidRPr="005C775C" w:rsidRDefault="003119C9" w:rsidP="003119C9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5C775C">
        <w:rPr>
          <w:rFonts w:eastAsia="Calibri"/>
          <w:color w:val="000000"/>
          <w:sz w:val="28"/>
          <w:szCs w:val="28"/>
        </w:rPr>
        <w:t xml:space="preserve">заявку на получение </w:t>
      </w:r>
      <w:r>
        <w:rPr>
          <w:rFonts w:eastAsia="Calibri"/>
          <w:color w:val="000000"/>
          <w:sz w:val="28"/>
          <w:szCs w:val="28"/>
        </w:rPr>
        <w:t>субсидий</w:t>
      </w:r>
      <w:r w:rsidRPr="005C775C">
        <w:rPr>
          <w:rFonts w:eastAsia="Calibri"/>
          <w:color w:val="000000"/>
          <w:sz w:val="28"/>
          <w:szCs w:val="28"/>
        </w:rPr>
        <w:t xml:space="preserve"> за счет средств бюджета </w:t>
      </w:r>
      <w:r>
        <w:rPr>
          <w:sz w:val="28"/>
          <w:szCs w:val="28"/>
        </w:rPr>
        <w:t>Новоалександровского</w:t>
      </w:r>
      <w:r w:rsidRPr="005C775C">
        <w:rPr>
          <w:rFonts w:eastAsia="Calibri"/>
          <w:color w:val="000000"/>
          <w:sz w:val="28"/>
          <w:szCs w:val="28"/>
        </w:rPr>
        <w:t xml:space="preserve"> городского округа Ставропольского края субъектам малого и среднего предпринимательства;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 xml:space="preserve">анкету субъекта малого и среднего предпринимательства, претендующего на получение </w:t>
      </w:r>
      <w:r>
        <w:rPr>
          <w:sz w:val="28"/>
          <w:szCs w:val="28"/>
        </w:rPr>
        <w:t xml:space="preserve">субсидии </w:t>
      </w:r>
      <w:r w:rsidRPr="005C775C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Новоалександровского</w:t>
      </w:r>
      <w:r w:rsidRPr="005C775C">
        <w:rPr>
          <w:sz w:val="28"/>
          <w:szCs w:val="28"/>
        </w:rPr>
        <w:t xml:space="preserve"> городского округа Ставропольского края субъектам малого и среднего предпринимательства;</w:t>
      </w:r>
    </w:p>
    <w:p w:rsidR="003119C9" w:rsidRPr="005C775C" w:rsidRDefault="003119C9" w:rsidP="003119C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копии учредительных документов заявителя и всех изменений к ним, а также документов, подтверждающих полномочия руководителя или иного уполномоченного лица субъекта предпринимательства (для юридического лица);</w:t>
      </w:r>
    </w:p>
    <w:p w:rsidR="003119C9" w:rsidRPr="005C775C" w:rsidRDefault="003119C9" w:rsidP="003119C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копию документа, удостоверяющего личность субъекта предпринимательства или документа, подтверждающего полномочия уполномоченного ли</w:t>
      </w:r>
      <w:r>
        <w:rPr>
          <w:sz w:val="28"/>
          <w:szCs w:val="28"/>
        </w:rPr>
        <w:t>ца субъекта предпринимательства</w:t>
      </w:r>
      <w:r w:rsidRPr="005C775C">
        <w:rPr>
          <w:sz w:val="28"/>
          <w:szCs w:val="28"/>
        </w:rPr>
        <w:t xml:space="preserve"> (для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доход»);</w:t>
      </w:r>
    </w:p>
    <w:p w:rsidR="003119C9" w:rsidRPr="005C775C" w:rsidRDefault="003119C9" w:rsidP="003119C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бизнес-план (технико-экономическое обоснование проекта);</w:t>
      </w:r>
    </w:p>
    <w:p w:rsidR="003119C9" w:rsidRPr="005C775C" w:rsidRDefault="003119C9" w:rsidP="00311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согласие на обработку персональных данных (для физического лица, в том числе индивидуального предпринимателя</w:t>
      </w:r>
      <w:r>
        <w:rPr>
          <w:sz w:val="28"/>
          <w:szCs w:val="28"/>
        </w:rPr>
        <w:t>);</w:t>
      </w:r>
    </w:p>
    <w:p w:rsidR="003119C9" w:rsidRPr="005C775C" w:rsidRDefault="003119C9" w:rsidP="003119C9">
      <w:pPr>
        <w:tabs>
          <w:tab w:val="left" w:pos="993"/>
        </w:tabs>
        <w:ind w:firstLine="708"/>
        <w:contextualSpacing/>
        <w:jc w:val="both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5C775C">
        <w:rPr>
          <w:sz w:val="28"/>
          <w:szCs w:val="28"/>
          <w:lang w:val="x-none" w:eastAsia="x-none"/>
        </w:rPr>
        <w:t>выписку из Единого государственного реестра юридических лиц (для юридического лица);</w:t>
      </w:r>
    </w:p>
    <w:p w:rsidR="003119C9" w:rsidRPr="005C775C" w:rsidRDefault="003119C9" w:rsidP="003119C9">
      <w:pPr>
        <w:tabs>
          <w:tab w:val="left" w:pos="993"/>
        </w:tabs>
        <w:ind w:firstLine="708"/>
        <w:contextualSpacing/>
        <w:jc w:val="both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5C775C">
        <w:rPr>
          <w:sz w:val="28"/>
          <w:szCs w:val="28"/>
          <w:lang w:val="x-none" w:eastAsia="x-none"/>
        </w:rPr>
        <w:t>бухгалтерский баланс и отчет о финансовых результатах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(для юридического лица);</w:t>
      </w:r>
    </w:p>
    <w:p w:rsidR="003119C9" w:rsidRPr="005C775C" w:rsidRDefault="003119C9" w:rsidP="003119C9">
      <w:pPr>
        <w:tabs>
          <w:tab w:val="left" w:pos="993"/>
        </w:tabs>
        <w:ind w:firstLine="708"/>
        <w:contextualSpacing/>
        <w:jc w:val="both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5C775C">
        <w:rPr>
          <w:sz w:val="28"/>
          <w:szCs w:val="28"/>
          <w:lang w:val="x-none" w:eastAsia="x-none"/>
        </w:rPr>
        <w:t>выписку из Единого государственного реестра индивидуальных предпринимателей (для индивидуального предпринимателя);</w:t>
      </w:r>
    </w:p>
    <w:p w:rsidR="003119C9" w:rsidRPr="005C775C" w:rsidRDefault="003119C9" w:rsidP="003119C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75C">
        <w:rPr>
          <w:sz w:val="28"/>
          <w:szCs w:val="28"/>
        </w:rPr>
        <w:t>копию лицензии на право осуществления соответствующей деятельности (в случае если осуществляемый заявителем вид деятельности подлежит лицензированию);</w:t>
      </w:r>
    </w:p>
    <w:p w:rsidR="003119C9" w:rsidRPr="005C775C" w:rsidRDefault="003119C9" w:rsidP="003119C9">
      <w:pPr>
        <w:tabs>
          <w:tab w:val="left" w:pos="993"/>
        </w:tabs>
        <w:ind w:firstLine="708"/>
        <w:contextualSpacing/>
        <w:jc w:val="both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5C775C">
        <w:rPr>
          <w:sz w:val="28"/>
          <w:szCs w:val="28"/>
          <w:lang w:val="x-none" w:eastAsia="x-none"/>
        </w:rPr>
        <w:t>налоговую декларацию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3119C9" w:rsidRPr="005C775C" w:rsidRDefault="003119C9" w:rsidP="003119C9">
      <w:pPr>
        <w:tabs>
          <w:tab w:val="left" w:pos="993"/>
        </w:tabs>
        <w:ind w:firstLine="708"/>
        <w:contextualSpacing/>
        <w:jc w:val="both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5C775C">
        <w:rPr>
          <w:sz w:val="28"/>
          <w:szCs w:val="28"/>
          <w:lang w:val="x-none" w:eastAsia="x-none"/>
        </w:rPr>
        <w:t xml:space="preserve"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заявителя, </w:t>
      </w:r>
      <w:r>
        <w:rPr>
          <w:sz w:val="28"/>
          <w:szCs w:val="28"/>
          <w:lang w:eastAsia="x-none"/>
        </w:rPr>
        <w:t>на дату подачи заявки, на участие в конкурсном отборе</w:t>
      </w:r>
      <w:r w:rsidRPr="005C775C">
        <w:rPr>
          <w:sz w:val="28"/>
          <w:szCs w:val="28"/>
          <w:lang w:val="x-none" w:eastAsia="x-none"/>
        </w:rPr>
        <w:t>;</w:t>
      </w:r>
    </w:p>
    <w:p w:rsidR="003119C9" w:rsidRPr="005C775C" w:rsidRDefault="003119C9" w:rsidP="003119C9">
      <w:pPr>
        <w:tabs>
          <w:tab w:val="left" w:pos="993"/>
        </w:tabs>
        <w:ind w:firstLine="708"/>
        <w:contextualSpacing/>
        <w:jc w:val="both"/>
        <w:outlineLvl w:val="0"/>
        <w:rPr>
          <w:rFonts w:eastAsia="Calibri"/>
          <w:color w:val="000000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5C775C">
        <w:rPr>
          <w:sz w:val="28"/>
          <w:szCs w:val="28"/>
          <w:lang w:val="x-none" w:eastAsia="x-none"/>
        </w:rPr>
        <w:t xml:space="preserve">справку об уровне </w:t>
      </w:r>
      <w:r w:rsidRPr="005C775C">
        <w:rPr>
          <w:rFonts w:eastAsia="Calibri"/>
          <w:color w:val="000000"/>
          <w:sz w:val="28"/>
          <w:szCs w:val="28"/>
          <w:lang w:val="x-none" w:eastAsia="x-none"/>
        </w:rPr>
        <w:t>заработной платы работников, состоящих в трудовых отношениях с субъектом предпринимательства</w:t>
      </w:r>
      <w:r w:rsidRPr="005C775C">
        <w:rPr>
          <w:rFonts w:eastAsia="Calibri"/>
          <w:color w:val="000000"/>
          <w:sz w:val="28"/>
          <w:szCs w:val="28"/>
          <w:lang w:eastAsia="x-none"/>
        </w:rPr>
        <w:t>;</w:t>
      </w:r>
    </w:p>
    <w:p w:rsidR="003119C9" w:rsidRPr="005C775C" w:rsidRDefault="003119C9" w:rsidP="003119C9">
      <w:pPr>
        <w:tabs>
          <w:tab w:val="left" w:pos="993"/>
        </w:tabs>
        <w:ind w:firstLine="708"/>
        <w:contextualSpacing/>
        <w:jc w:val="both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5C775C">
        <w:rPr>
          <w:sz w:val="28"/>
          <w:szCs w:val="28"/>
          <w:lang w:val="x-none" w:eastAsia="x-none"/>
        </w:rPr>
        <w:t>документ, подтверждающий применение специального налогового режима «Налог на профессиональный доход» (для физического лица, не являющегося индивидуальным предпринимателем).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>Участник конкурсного отбора имеет право отозвать заявку до окончания срока подачи заявок и передачи документов для рас</w:t>
      </w:r>
      <w:r>
        <w:rPr>
          <w:sz w:val="28"/>
          <w:szCs w:val="28"/>
        </w:rPr>
        <w:t>смотрения в конкурсную комиссию, путем подачи соответствующего заявления.</w:t>
      </w:r>
    </w:p>
    <w:p w:rsidR="003119C9" w:rsidRDefault="003119C9" w:rsidP="003119C9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 xml:space="preserve">Рассмотрение конкурсных заявок на предмет участия в конкурсном отборе осуществляется на заседании конкурсной комиссии. 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:rsidR="003119C9" w:rsidRPr="005C775C" w:rsidRDefault="003119C9" w:rsidP="003119C9">
      <w:pPr>
        <w:ind w:firstLine="709"/>
        <w:jc w:val="both"/>
        <w:rPr>
          <w:sz w:val="28"/>
          <w:szCs w:val="28"/>
        </w:rPr>
      </w:pPr>
      <w:r w:rsidRPr="005C775C">
        <w:rPr>
          <w:sz w:val="28"/>
          <w:szCs w:val="28"/>
        </w:rPr>
        <w:t>1) об отклонении заявки от участия в конкурсном отборе;</w:t>
      </w:r>
    </w:p>
    <w:p w:rsidR="003119C9" w:rsidRPr="005C775C" w:rsidRDefault="003119C9" w:rsidP="003119C9">
      <w:pPr>
        <w:ind w:firstLine="709"/>
        <w:jc w:val="both"/>
        <w:rPr>
          <w:sz w:val="28"/>
          <w:szCs w:val="28"/>
        </w:rPr>
      </w:pPr>
      <w:r w:rsidRPr="005C775C">
        <w:rPr>
          <w:sz w:val="28"/>
          <w:szCs w:val="28"/>
        </w:rPr>
        <w:t>2) о допуске заявки к участию в конкурсном отборе.</w:t>
      </w:r>
    </w:p>
    <w:p w:rsidR="003119C9" w:rsidRPr="005C775C" w:rsidRDefault="003119C9" w:rsidP="003119C9">
      <w:pPr>
        <w:ind w:firstLine="709"/>
        <w:jc w:val="both"/>
        <w:rPr>
          <w:sz w:val="28"/>
          <w:szCs w:val="28"/>
        </w:rPr>
      </w:pPr>
      <w:r w:rsidRPr="005C775C">
        <w:rPr>
          <w:sz w:val="28"/>
          <w:szCs w:val="28"/>
        </w:rPr>
        <w:t>Основаниями для принятия конкурсной комиссией решения об отклонении заявки от участия в конкурсном отборе является: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 xml:space="preserve">1) несоответствие субъекта предпринимательства </w:t>
      </w:r>
      <w:r>
        <w:rPr>
          <w:sz w:val="28"/>
          <w:szCs w:val="28"/>
        </w:rPr>
        <w:t xml:space="preserve">установленным </w:t>
      </w:r>
      <w:r w:rsidRPr="005C775C">
        <w:rPr>
          <w:sz w:val="28"/>
          <w:szCs w:val="28"/>
        </w:rPr>
        <w:t>условиям и требованиям;</w:t>
      </w:r>
    </w:p>
    <w:p w:rsidR="003119C9" w:rsidRDefault="003119C9" w:rsidP="003119C9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 xml:space="preserve">2) несоответствие представленных субъектом предпринимательства документов требованиям к документам, или </w:t>
      </w:r>
      <w:r>
        <w:rPr>
          <w:sz w:val="28"/>
          <w:szCs w:val="28"/>
        </w:rPr>
        <w:t xml:space="preserve">их </w:t>
      </w:r>
      <w:r w:rsidRPr="005C775C">
        <w:rPr>
          <w:sz w:val="28"/>
          <w:szCs w:val="28"/>
        </w:rPr>
        <w:t>непредставление (предоставление не в полном объе</w:t>
      </w:r>
      <w:r>
        <w:rPr>
          <w:sz w:val="28"/>
          <w:szCs w:val="28"/>
        </w:rPr>
        <w:t>ме);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>3) недостоверност</w:t>
      </w:r>
      <w:r>
        <w:rPr>
          <w:sz w:val="28"/>
          <w:szCs w:val="28"/>
        </w:rPr>
        <w:t>ь</w:t>
      </w:r>
      <w:r w:rsidRPr="005C775C">
        <w:rPr>
          <w:sz w:val="28"/>
          <w:szCs w:val="28"/>
        </w:rPr>
        <w:t xml:space="preserve"> информации, содержащейся в документах, представленных субъектом предпринимательства, в том числе о месте нахождения и адресе юридического лица;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>4) нарушени</w:t>
      </w:r>
      <w:r>
        <w:rPr>
          <w:sz w:val="28"/>
          <w:szCs w:val="28"/>
        </w:rPr>
        <w:t>е</w:t>
      </w:r>
      <w:r w:rsidRPr="005C775C">
        <w:rPr>
          <w:sz w:val="28"/>
          <w:szCs w:val="28"/>
        </w:rPr>
        <w:t xml:space="preserve"> субъектом предпринимательства сроков подачи конкурсной заявки.</w:t>
      </w:r>
    </w:p>
    <w:p w:rsidR="003119C9" w:rsidRPr="005C775C" w:rsidRDefault="003119C9" w:rsidP="003119C9">
      <w:pPr>
        <w:ind w:firstLine="709"/>
        <w:jc w:val="both"/>
        <w:rPr>
          <w:sz w:val="28"/>
          <w:szCs w:val="28"/>
        </w:rPr>
      </w:pPr>
      <w:r w:rsidRPr="005C775C">
        <w:rPr>
          <w:sz w:val="28"/>
          <w:szCs w:val="28"/>
        </w:rPr>
        <w:t xml:space="preserve">В случае принятия конкурсной комиссией решения об отклонении заявки от участия в конкурсном отборе </w:t>
      </w:r>
      <w:r>
        <w:rPr>
          <w:sz w:val="28"/>
          <w:szCs w:val="28"/>
        </w:rPr>
        <w:t>администрация Новоалександровского городского округа Ставропольского края</w:t>
      </w:r>
      <w:r w:rsidRPr="005C775C">
        <w:rPr>
          <w:sz w:val="28"/>
          <w:szCs w:val="28"/>
        </w:rPr>
        <w:t xml:space="preserve"> в течение 5 рабочих дней со дня принятия такого решения направляет субъекту предпринимательства письменное уведомление об отклонении заявки от участия в конкурсном отборе с указанием причин отклонения.</w:t>
      </w:r>
    </w:p>
    <w:p w:rsidR="003119C9" w:rsidRPr="005C775C" w:rsidRDefault="003119C9" w:rsidP="003119C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Допущенные к участию в конкурсном отборе п</w:t>
      </w:r>
      <w:r w:rsidRPr="005C775C">
        <w:rPr>
          <w:rFonts w:eastAsia="Calibri"/>
          <w:sz w:val="28"/>
          <w:szCs w:val="28"/>
          <w:lang w:eastAsia="en-US"/>
        </w:rPr>
        <w:t>редлагаемы</w:t>
      </w:r>
      <w:r>
        <w:rPr>
          <w:rFonts w:eastAsia="Calibri"/>
          <w:sz w:val="28"/>
          <w:szCs w:val="28"/>
          <w:lang w:eastAsia="en-US"/>
        </w:rPr>
        <w:t>е</w:t>
      </w:r>
      <w:r w:rsidRPr="005C775C">
        <w:rPr>
          <w:rFonts w:eastAsia="Calibri"/>
          <w:sz w:val="28"/>
          <w:szCs w:val="28"/>
          <w:lang w:eastAsia="en-US"/>
        </w:rPr>
        <w:t xml:space="preserve"> к реализации проект</w:t>
      </w:r>
      <w:r>
        <w:rPr>
          <w:rFonts w:eastAsia="Calibri"/>
          <w:sz w:val="28"/>
          <w:szCs w:val="28"/>
          <w:lang w:eastAsia="en-US"/>
        </w:rPr>
        <w:t>ы</w:t>
      </w:r>
      <w:r w:rsidRPr="005C775C">
        <w:rPr>
          <w:rFonts w:eastAsia="Calibri"/>
          <w:sz w:val="28"/>
          <w:szCs w:val="28"/>
          <w:lang w:eastAsia="en-US"/>
        </w:rPr>
        <w:t xml:space="preserve"> оценивается </w:t>
      </w:r>
      <w:r>
        <w:rPr>
          <w:rFonts w:eastAsia="Calibri"/>
          <w:sz w:val="28"/>
          <w:szCs w:val="28"/>
          <w:lang w:eastAsia="en-US"/>
        </w:rPr>
        <w:t xml:space="preserve">конкурсной комиссией </w:t>
      </w:r>
      <w:r w:rsidRPr="005C775C">
        <w:rPr>
          <w:rFonts w:eastAsia="Calibri"/>
          <w:sz w:val="28"/>
          <w:szCs w:val="28"/>
          <w:lang w:eastAsia="en-US"/>
        </w:rPr>
        <w:t xml:space="preserve">в соответствии с методикой </w:t>
      </w:r>
      <w:r w:rsidRPr="005C775C">
        <w:rPr>
          <w:color w:val="000000"/>
          <w:sz w:val="28"/>
          <w:szCs w:val="28"/>
        </w:rPr>
        <w:t xml:space="preserve">оценки комплексного показателя общей эффективности проекта, по </w:t>
      </w:r>
      <w:r w:rsidRPr="005C775C">
        <w:rPr>
          <w:rFonts w:eastAsia="Calibri"/>
          <w:sz w:val="28"/>
          <w:szCs w:val="28"/>
          <w:lang w:eastAsia="en-US"/>
        </w:rPr>
        <w:t>следующим критериям:</w:t>
      </w:r>
    </w:p>
    <w:p w:rsidR="003119C9" w:rsidRDefault="003119C9" w:rsidP="003119C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775C">
        <w:rPr>
          <w:color w:val="000000"/>
          <w:sz w:val="28"/>
          <w:szCs w:val="28"/>
        </w:rPr>
        <w:t>бюджетная</w:t>
      </w:r>
      <w:proofErr w:type="gramEnd"/>
      <w:r w:rsidRPr="005C775C">
        <w:rPr>
          <w:color w:val="000000"/>
          <w:sz w:val="28"/>
          <w:szCs w:val="28"/>
        </w:rPr>
        <w:t xml:space="preserve"> эффективность проекта;</w:t>
      </w:r>
    </w:p>
    <w:p w:rsidR="003119C9" w:rsidRPr="005C775C" w:rsidRDefault="003119C9" w:rsidP="003119C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775C">
        <w:rPr>
          <w:color w:val="000000"/>
          <w:sz w:val="28"/>
          <w:szCs w:val="28"/>
        </w:rPr>
        <w:t>финансовая</w:t>
      </w:r>
      <w:proofErr w:type="gramEnd"/>
      <w:r w:rsidRPr="005C775C">
        <w:rPr>
          <w:color w:val="000000"/>
          <w:sz w:val="28"/>
          <w:szCs w:val="28"/>
        </w:rPr>
        <w:t xml:space="preserve"> эффективность проекта;</w:t>
      </w:r>
    </w:p>
    <w:p w:rsidR="003119C9" w:rsidRPr="005C775C" w:rsidRDefault="003119C9" w:rsidP="003119C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C775C">
        <w:rPr>
          <w:rFonts w:eastAsia="Calibri"/>
          <w:sz w:val="28"/>
          <w:szCs w:val="28"/>
          <w:lang w:eastAsia="en-US"/>
        </w:rPr>
        <w:t>социальная</w:t>
      </w:r>
      <w:proofErr w:type="gramEnd"/>
      <w:r w:rsidRPr="005C775C">
        <w:rPr>
          <w:rFonts w:eastAsia="Calibri"/>
          <w:sz w:val="28"/>
          <w:szCs w:val="28"/>
          <w:lang w:eastAsia="en-US"/>
        </w:rPr>
        <w:t xml:space="preserve"> эффективность проекта (</w:t>
      </w:r>
      <w:r w:rsidRPr="005C775C">
        <w:rPr>
          <w:color w:val="000000"/>
          <w:sz w:val="28"/>
          <w:szCs w:val="28"/>
        </w:rPr>
        <w:t>количество создаваемых дополнительных рабочих мест в ходе реализации проекта);</w:t>
      </w:r>
    </w:p>
    <w:p w:rsidR="003119C9" w:rsidRDefault="003119C9" w:rsidP="003119C9">
      <w:pPr>
        <w:ind w:firstLine="708"/>
        <w:jc w:val="both"/>
        <w:rPr>
          <w:sz w:val="28"/>
          <w:szCs w:val="28"/>
        </w:rPr>
      </w:pPr>
      <w:proofErr w:type="gramStart"/>
      <w:r w:rsidRPr="005C775C">
        <w:rPr>
          <w:sz w:val="28"/>
          <w:szCs w:val="28"/>
        </w:rPr>
        <w:t>экономическая</w:t>
      </w:r>
      <w:proofErr w:type="gramEnd"/>
      <w:r w:rsidRPr="005C775C">
        <w:rPr>
          <w:sz w:val="28"/>
          <w:szCs w:val="28"/>
        </w:rPr>
        <w:t xml:space="preserve"> эффективность проекта (далее – критерии конкурсного отбора).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 xml:space="preserve">По результатам оценки конкурсных заявок конкурсная комиссия определяет </w:t>
      </w:r>
      <w:r w:rsidRPr="005C775C">
        <w:rPr>
          <w:color w:val="000000"/>
          <w:sz w:val="28"/>
          <w:szCs w:val="28"/>
        </w:rPr>
        <w:t>комплексный показатель общей эффективности проекта</w:t>
      </w:r>
      <w:r w:rsidRPr="005C775C">
        <w:rPr>
          <w:sz w:val="28"/>
          <w:szCs w:val="28"/>
        </w:rPr>
        <w:t xml:space="preserve"> по каждой заявке, определенный на основе суммы баллов, присвоенных конкурсной комиссией в </w:t>
      </w:r>
      <w:r w:rsidRPr="005C775C">
        <w:rPr>
          <w:rFonts w:eastAsia="Calibri"/>
          <w:sz w:val="28"/>
          <w:szCs w:val="28"/>
          <w:lang w:eastAsia="en-US"/>
        </w:rPr>
        <w:t xml:space="preserve">соответствии с методикой </w:t>
      </w:r>
      <w:r w:rsidRPr="005C775C">
        <w:rPr>
          <w:color w:val="000000"/>
          <w:sz w:val="28"/>
          <w:szCs w:val="28"/>
        </w:rPr>
        <w:t>оценки комплексного показателя общей эффективности проекта.</w:t>
      </w:r>
    </w:p>
    <w:p w:rsidR="003119C9" w:rsidRPr="005C775C" w:rsidRDefault="003119C9" w:rsidP="003119C9">
      <w:pPr>
        <w:ind w:firstLine="709"/>
        <w:jc w:val="both"/>
        <w:rPr>
          <w:sz w:val="28"/>
          <w:szCs w:val="28"/>
        </w:rPr>
      </w:pPr>
      <w:r w:rsidRPr="005C775C">
        <w:rPr>
          <w:sz w:val="28"/>
          <w:szCs w:val="28"/>
        </w:rPr>
        <w:t>Каждому предлагаемому к реализации проекту в составе заявки</w:t>
      </w:r>
      <w:r w:rsidRPr="005C775C">
        <w:t xml:space="preserve"> </w:t>
      </w:r>
      <w:r w:rsidRPr="005C775C">
        <w:rPr>
          <w:sz w:val="28"/>
          <w:szCs w:val="28"/>
        </w:rPr>
        <w:t>присваивается порядковый номер и формируется рейтинг заявок. Проекту, набравшему наибольший комплексный показатель общей эффективности проекта, присваивается первый номер.</w:t>
      </w:r>
    </w:p>
    <w:p w:rsidR="003119C9" w:rsidRDefault="003119C9" w:rsidP="003119C9">
      <w:pPr>
        <w:ind w:firstLine="709"/>
        <w:jc w:val="both"/>
        <w:rPr>
          <w:sz w:val="28"/>
          <w:szCs w:val="28"/>
        </w:rPr>
      </w:pPr>
      <w:r w:rsidRPr="005C775C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5C775C">
        <w:rPr>
          <w:sz w:val="28"/>
          <w:szCs w:val="28"/>
        </w:rPr>
        <w:t xml:space="preserve"> если у нескольких проектов одинаковый комплексный показатель общей эффективности проекта, наименьший номер присваивается проекту, который имеет наиболее высокий показатель по критерию социальной эффективности проекта.</w:t>
      </w:r>
      <w:r w:rsidRPr="005C775C">
        <w:t xml:space="preserve"> </w:t>
      </w:r>
      <w:r w:rsidRPr="005C775C">
        <w:rPr>
          <w:sz w:val="28"/>
          <w:szCs w:val="28"/>
        </w:rPr>
        <w:t>В случае если у нескольких проектов одинаковые</w:t>
      </w:r>
      <w:r>
        <w:rPr>
          <w:sz w:val="28"/>
          <w:szCs w:val="28"/>
        </w:rPr>
        <w:t>:</w:t>
      </w:r>
      <w:r w:rsidRPr="005C775C">
        <w:rPr>
          <w:sz w:val="28"/>
          <w:szCs w:val="28"/>
        </w:rPr>
        <w:t xml:space="preserve"> комплексный показатель общей эффективности проекта и показатель по критерию социальной эффективности проекта, наименьший номер присваивается проекту, который имеет наиболее высокий показатель по критерию бюджетной эффективности проекта. В случае если у нескольких проектов одинаковые: комплексный показатель общей эффективности проекта, показатель по критерию социальной эффективности проекта, показатель по критерию бюджетной эффективности проекта наименьший номер присваивается проекту, который поступил в администрацию </w:t>
      </w:r>
      <w:r>
        <w:rPr>
          <w:kern w:val="2"/>
          <w:sz w:val="28"/>
          <w:szCs w:val="28"/>
          <w:lang w:eastAsia="ar-SA"/>
        </w:rPr>
        <w:t>Новоалександровского</w:t>
      </w:r>
      <w:r w:rsidRPr="005C775C">
        <w:rPr>
          <w:sz w:val="28"/>
          <w:szCs w:val="28"/>
        </w:rPr>
        <w:t xml:space="preserve"> городского округа раньше.</w:t>
      </w:r>
    </w:p>
    <w:p w:rsidR="003119C9" w:rsidRDefault="003119C9" w:rsidP="003119C9">
      <w:pPr>
        <w:ind w:firstLine="708"/>
        <w:jc w:val="both"/>
        <w:rPr>
          <w:sz w:val="28"/>
          <w:szCs w:val="28"/>
        </w:rPr>
      </w:pPr>
      <w:r w:rsidRPr="005C775C">
        <w:rPr>
          <w:sz w:val="28"/>
          <w:szCs w:val="28"/>
        </w:rPr>
        <w:t>Победителями конкурсного отбора признаются субъекты предпринимательства, чьи предполагаемые к реализации проекты в составе заявки имеют наименьший порядковый номер, в пределах общего объема бюджетных ассигнований.</w:t>
      </w:r>
    </w:p>
    <w:p w:rsidR="003119C9" w:rsidRPr="00052377" w:rsidRDefault="003119C9" w:rsidP="003119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52377">
        <w:rPr>
          <w:rFonts w:ascii="Times New Roman" w:hAnsi="Times New Roman"/>
          <w:color w:val="000000"/>
          <w:sz w:val="28"/>
          <w:szCs w:val="28"/>
        </w:rPr>
        <w:t>Более п</w:t>
      </w:r>
      <w:r w:rsidRPr="00052377">
        <w:rPr>
          <w:rFonts w:ascii="Times New Roman" w:hAnsi="Times New Roman"/>
          <w:sz w:val="28"/>
          <w:szCs w:val="28"/>
        </w:rPr>
        <w:t xml:space="preserve">одробные разъяснения по вопросам участия в проведении конкурсного отбора можно получить в администрации Новоалександровского городского округа Ставропольского края по адресу: 356000, Ставропольский край, г. Новоалександровск, ул. Гагарина, 315, отдел экономического развития администрации Новоалександровского городского округа Ставропольского края (кабинет № 32) по </w:t>
      </w:r>
      <w:r>
        <w:rPr>
          <w:rFonts w:ascii="Times New Roman" w:hAnsi="Times New Roman"/>
          <w:sz w:val="28"/>
          <w:szCs w:val="28"/>
        </w:rPr>
        <w:t xml:space="preserve">телефонам: </w:t>
      </w:r>
      <w:r w:rsidRPr="00052377">
        <w:rPr>
          <w:rFonts w:ascii="Times New Roman" w:hAnsi="Times New Roman"/>
          <w:sz w:val="28"/>
          <w:szCs w:val="28"/>
        </w:rPr>
        <w:t xml:space="preserve">(86544) 6-11-30, </w:t>
      </w:r>
      <w:r>
        <w:rPr>
          <w:rFonts w:ascii="Times New Roman" w:hAnsi="Times New Roman"/>
          <w:sz w:val="28"/>
          <w:szCs w:val="28"/>
        </w:rPr>
        <w:t>(8-865-44)</w:t>
      </w:r>
      <w:r w:rsidRPr="00052377">
        <w:rPr>
          <w:rFonts w:ascii="Times New Roman" w:hAnsi="Times New Roman"/>
          <w:sz w:val="28"/>
          <w:szCs w:val="28"/>
        </w:rPr>
        <w:t>6-24-33, в период срока подачи кон</w:t>
      </w:r>
      <w:r>
        <w:rPr>
          <w:rFonts w:ascii="Times New Roman" w:hAnsi="Times New Roman"/>
          <w:sz w:val="28"/>
          <w:szCs w:val="28"/>
        </w:rPr>
        <w:t>курсных заявок</w:t>
      </w:r>
      <w:r w:rsidRPr="00052377">
        <w:rPr>
          <w:rFonts w:ascii="Times New Roman" w:hAnsi="Times New Roman"/>
          <w:sz w:val="28"/>
          <w:szCs w:val="28"/>
        </w:rPr>
        <w:t xml:space="preserve"> с 06 июня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37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052377">
        <w:rPr>
          <w:rFonts w:ascii="Times New Roman" w:hAnsi="Times New Roman"/>
          <w:sz w:val="28"/>
          <w:szCs w:val="28"/>
        </w:rPr>
        <w:t xml:space="preserve"> по 06 июля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37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052377">
        <w:rPr>
          <w:rFonts w:ascii="Times New Roman" w:hAnsi="Times New Roman"/>
          <w:sz w:val="28"/>
          <w:szCs w:val="28"/>
        </w:rPr>
        <w:t>.</w:t>
      </w:r>
    </w:p>
    <w:p w:rsidR="003119C9" w:rsidRDefault="003119C9" w:rsidP="003119C9">
      <w:pPr>
        <w:ind w:firstLine="708"/>
        <w:jc w:val="both"/>
        <w:rPr>
          <w:sz w:val="28"/>
          <w:szCs w:val="28"/>
        </w:rPr>
      </w:pPr>
      <w:r w:rsidRPr="00052377">
        <w:rPr>
          <w:rFonts w:eastAsia="Calibri"/>
          <w:sz w:val="28"/>
          <w:szCs w:val="28"/>
          <w:lang w:eastAsia="en-US"/>
        </w:rPr>
        <w:t xml:space="preserve">Субсидии </w:t>
      </w:r>
      <w:r w:rsidRPr="00052377">
        <w:rPr>
          <w:sz w:val="28"/>
          <w:szCs w:val="28"/>
        </w:rPr>
        <w:t>предоставляется субъектам предпринимательства в пределах</w:t>
      </w:r>
      <w:r w:rsidRPr="005C775C">
        <w:rPr>
          <w:sz w:val="28"/>
          <w:szCs w:val="28"/>
        </w:rPr>
        <w:t xml:space="preserve"> лимитов бюджетных обязательств, предусмотренных в бюджете </w:t>
      </w:r>
      <w:r>
        <w:rPr>
          <w:sz w:val="28"/>
          <w:szCs w:val="28"/>
        </w:rPr>
        <w:t>Новоалександровского</w:t>
      </w:r>
      <w:r w:rsidRPr="005C775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 рамках</w:t>
      </w:r>
      <w:r w:rsidRPr="00B96438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 w:rsidRPr="00B96438">
        <w:rPr>
          <w:color w:val="000000"/>
          <w:sz w:val="28"/>
          <w:szCs w:val="28"/>
        </w:rPr>
        <w:t>м</w:t>
      </w:r>
      <w:r w:rsidRPr="00657F28">
        <w:rPr>
          <w:color w:val="000000"/>
          <w:sz w:val="28"/>
          <w:szCs w:val="28"/>
        </w:rPr>
        <w:t>униципальной программы «</w:t>
      </w:r>
      <w:r w:rsidRPr="00657F28">
        <w:rPr>
          <w:sz w:val="28"/>
          <w:szCs w:val="28"/>
        </w:rPr>
        <w:t xml:space="preserve">Развитие субъектов малого и среднего предпринимательства, потребительского рынка и инвестиционной деятельности на территории Новоалександровского </w:t>
      </w:r>
      <w:r>
        <w:rPr>
          <w:sz w:val="28"/>
          <w:szCs w:val="28"/>
        </w:rPr>
        <w:t>городского округа</w:t>
      </w:r>
      <w:r w:rsidRPr="00657F28">
        <w:rPr>
          <w:sz w:val="28"/>
          <w:szCs w:val="28"/>
        </w:rPr>
        <w:t xml:space="preserve"> Ставропольского края»</w:t>
      </w:r>
      <w:r>
        <w:rPr>
          <w:sz w:val="28"/>
          <w:szCs w:val="28"/>
        </w:rPr>
        <w:t>.</w:t>
      </w:r>
    </w:p>
    <w:p w:rsidR="003119C9" w:rsidRPr="005C775C" w:rsidRDefault="003119C9" w:rsidP="0031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размер субсидии </w:t>
      </w:r>
      <w:r w:rsidRPr="005C775C">
        <w:rPr>
          <w:sz w:val="28"/>
          <w:szCs w:val="28"/>
        </w:rPr>
        <w:t>субъект</w:t>
      </w:r>
      <w:r>
        <w:rPr>
          <w:sz w:val="28"/>
          <w:szCs w:val="28"/>
        </w:rPr>
        <w:t>у</w:t>
      </w:r>
      <w:r w:rsidRPr="005C775C">
        <w:rPr>
          <w:sz w:val="28"/>
          <w:szCs w:val="28"/>
        </w:rPr>
        <w:t xml:space="preserve"> предпринимательства, признанн</w:t>
      </w:r>
      <w:r>
        <w:rPr>
          <w:sz w:val="28"/>
          <w:szCs w:val="28"/>
        </w:rPr>
        <w:t>ому</w:t>
      </w:r>
      <w:r w:rsidRPr="005C775C">
        <w:rPr>
          <w:sz w:val="28"/>
          <w:szCs w:val="28"/>
        </w:rPr>
        <w:t xml:space="preserve"> победителем конкурсного отбора</w:t>
      </w:r>
      <w:r>
        <w:rPr>
          <w:sz w:val="28"/>
          <w:szCs w:val="28"/>
        </w:rPr>
        <w:t>,</w:t>
      </w:r>
      <w:r w:rsidRPr="005C775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 xml:space="preserve">яется на заседании </w:t>
      </w:r>
      <w:r w:rsidRPr="005C775C">
        <w:rPr>
          <w:sz w:val="28"/>
          <w:szCs w:val="28"/>
        </w:rPr>
        <w:t>конкурсной комисси</w:t>
      </w:r>
      <w:r>
        <w:rPr>
          <w:sz w:val="28"/>
          <w:szCs w:val="28"/>
        </w:rPr>
        <w:t>и</w:t>
      </w:r>
      <w:r w:rsidRPr="005C775C">
        <w:rPr>
          <w:sz w:val="28"/>
          <w:szCs w:val="28"/>
        </w:rPr>
        <w:t xml:space="preserve"> </w:t>
      </w:r>
      <w:r>
        <w:rPr>
          <w:sz w:val="28"/>
          <w:szCs w:val="28"/>
        </w:rPr>
        <w:t>и не может превышать 150,0 тысяч рублей.</w:t>
      </w:r>
    </w:p>
    <w:p w:rsidR="00110DDD" w:rsidRPr="003119C9" w:rsidRDefault="00110DDD" w:rsidP="003119C9"/>
    <w:sectPr w:rsidR="00110DDD" w:rsidRPr="003119C9" w:rsidSect="007C1022">
      <w:headerReference w:type="default" r:id="rId7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16" w:rsidRDefault="00C10816">
      <w:r>
        <w:separator/>
      </w:r>
    </w:p>
  </w:endnote>
  <w:endnote w:type="continuationSeparator" w:id="0">
    <w:p w:rsidR="00C10816" w:rsidRDefault="00C1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16" w:rsidRDefault="00C10816">
      <w:r>
        <w:separator/>
      </w:r>
    </w:p>
  </w:footnote>
  <w:footnote w:type="continuationSeparator" w:id="0">
    <w:p w:rsidR="00C10816" w:rsidRDefault="00C1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1E" w:rsidRPr="007F4F0A" w:rsidRDefault="00902746" w:rsidP="0046290A">
    <w:pPr>
      <w:pStyle w:val="aa"/>
      <w:jc w:val="right"/>
      <w:rPr>
        <w:rFonts w:ascii="Times New Roman" w:hAnsi="Times New Roman"/>
        <w:sz w:val="28"/>
        <w:szCs w:val="28"/>
        <w:lang w:val="ru-RU"/>
      </w:rPr>
    </w:pPr>
    <w:r w:rsidRPr="00457339">
      <w:rPr>
        <w:rFonts w:ascii="Times New Roman" w:hAnsi="Times New Roman"/>
        <w:sz w:val="28"/>
        <w:szCs w:val="28"/>
      </w:rPr>
      <w:fldChar w:fldCharType="begin"/>
    </w:r>
    <w:r w:rsidRPr="00457339">
      <w:rPr>
        <w:rFonts w:ascii="Times New Roman" w:hAnsi="Times New Roman"/>
        <w:sz w:val="28"/>
        <w:szCs w:val="28"/>
      </w:rPr>
      <w:instrText>PAGE   \* MERGEFORMAT</w:instrText>
    </w:r>
    <w:r w:rsidRPr="00457339">
      <w:rPr>
        <w:rFonts w:ascii="Times New Roman" w:hAnsi="Times New Roman"/>
        <w:sz w:val="28"/>
        <w:szCs w:val="28"/>
      </w:rPr>
      <w:fldChar w:fldCharType="separate"/>
    </w:r>
    <w:r w:rsidR="00DF1D74" w:rsidRPr="00DF1D74">
      <w:rPr>
        <w:rFonts w:ascii="Times New Roman" w:hAnsi="Times New Roman"/>
        <w:noProof/>
        <w:sz w:val="28"/>
        <w:szCs w:val="28"/>
        <w:lang w:val="ru-RU"/>
      </w:rPr>
      <w:t>6</w:t>
    </w:r>
    <w:r w:rsidRPr="0045733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EDA"/>
    <w:multiLevelType w:val="multilevel"/>
    <w:tmpl w:val="F97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74857"/>
    <w:multiLevelType w:val="multilevel"/>
    <w:tmpl w:val="048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66274"/>
    <w:multiLevelType w:val="multilevel"/>
    <w:tmpl w:val="818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72021"/>
    <w:multiLevelType w:val="hybridMultilevel"/>
    <w:tmpl w:val="9750458A"/>
    <w:lvl w:ilvl="0" w:tplc="12F6CD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CE411A"/>
    <w:multiLevelType w:val="multilevel"/>
    <w:tmpl w:val="9FB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964C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6266CB0"/>
    <w:multiLevelType w:val="multilevel"/>
    <w:tmpl w:val="BC2A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A033B"/>
    <w:multiLevelType w:val="multilevel"/>
    <w:tmpl w:val="281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B786D"/>
    <w:multiLevelType w:val="multilevel"/>
    <w:tmpl w:val="0A3A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B2D57"/>
    <w:multiLevelType w:val="multilevel"/>
    <w:tmpl w:val="4E9A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2E"/>
    <w:rsid w:val="00110DDD"/>
    <w:rsid w:val="0021745D"/>
    <w:rsid w:val="0022570C"/>
    <w:rsid w:val="00240826"/>
    <w:rsid w:val="00243EC3"/>
    <w:rsid w:val="002836BB"/>
    <w:rsid w:val="002C182E"/>
    <w:rsid w:val="002E1572"/>
    <w:rsid w:val="00306717"/>
    <w:rsid w:val="003119C9"/>
    <w:rsid w:val="003248DB"/>
    <w:rsid w:val="00333D22"/>
    <w:rsid w:val="003A323A"/>
    <w:rsid w:val="003B7527"/>
    <w:rsid w:val="004003C0"/>
    <w:rsid w:val="004A2B35"/>
    <w:rsid w:val="0055797C"/>
    <w:rsid w:val="005B1ABF"/>
    <w:rsid w:val="00647EE1"/>
    <w:rsid w:val="006A2C45"/>
    <w:rsid w:val="007D0010"/>
    <w:rsid w:val="008248EC"/>
    <w:rsid w:val="00902746"/>
    <w:rsid w:val="0092438C"/>
    <w:rsid w:val="00985A40"/>
    <w:rsid w:val="009C3077"/>
    <w:rsid w:val="00A141DA"/>
    <w:rsid w:val="00C10816"/>
    <w:rsid w:val="00CB5159"/>
    <w:rsid w:val="00D21C2A"/>
    <w:rsid w:val="00D64179"/>
    <w:rsid w:val="00D86ABD"/>
    <w:rsid w:val="00DF1D74"/>
    <w:rsid w:val="00E0096A"/>
    <w:rsid w:val="00E8468C"/>
    <w:rsid w:val="00E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C1B8B-F63C-414A-A6EA-F2C8B0A0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1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D6417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D6417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257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6A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64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41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64179"/>
    <w:pPr>
      <w:spacing w:before="100" w:beforeAutospacing="1" w:after="100" w:afterAutospacing="1"/>
    </w:pPr>
  </w:style>
  <w:style w:type="character" w:customStyle="1" w:styleId="rusrule">
    <w:name w:val="rus_rule"/>
    <w:basedOn w:val="a0"/>
    <w:rsid w:val="00D64179"/>
  </w:style>
  <w:style w:type="paragraph" w:customStyle="1" w:styleId="leftmargin">
    <w:name w:val="left_margin"/>
    <w:basedOn w:val="a"/>
    <w:rsid w:val="00D64179"/>
    <w:pPr>
      <w:spacing w:before="100" w:beforeAutospacing="1" w:after="100" w:afterAutospacing="1"/>
    </w:pPr>
  </w:style>
  <w:style w:type="character" w:customStyle="1" w:styleId="rusnotes">
    <w:name w:val="rus_notes"/>
    <w:basedOn w:val="a0"/>
    <w:rsid w:val="00D64179"/>
  </w:style>
  <w:style w:type="character" w:customStyle="1" w:styleId="rusexclusion">
    <w:name w:val="rus_exclusion"/>
    <w:basedOn w:val="a0"/>
    <w:rsid w:val="00D64179"/>
  </w:style>
  <w:style w:type="character" w:customStyle="1" w:styleId="russubterm">
    <w:name w:val="rus_subterm"/>
    <w:basedOn w:val="a0"/>
    <w:rsid w:val="00D64179"/>
  </w:style>
  <w:style w:type="character" w:customStyle="1" w:styleId="20">
    <w:name w:val="Заголовок 2 Знак"/>
    <w:basedOn w:val="a0"/>
    <w:link w:val="2"/>
    <w:uiPriority w:val="9"/>
    <w:semiHidden/>
    <w:rsid w:val="00D64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4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D64179"/>
    <w:rPr>
      <w:color w:val="0000FF"/>
      <w:u w:val="single"/>
    </w:rPr>
  </w:style>
  <w:style w:type="character" w:styleId="a8">
    <w:name w:val="Emphasis"/>
    <w:basedOn w:val="a0"/>
    <w:uiPriority w:val="20"/>
    <w:qFormat/>
    <w:rsid w:val="003B7527"/>
    <w:rPr>
      <w:i/>
      <w:iCs/>
    </w:rPr>
  </w:style>
  <w:style w:type="character" w:customStyle="1" w:styleId="21">
    <w:name w:val="Основной текст (2)_"/>
    <w:basedOn w:val="a0"/>
    <w:link w:val="22"/>
    <w:rsid w:val="003A32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23A"/>
    <w:pPr>
      <w:widowControl w:val="0"/>
      <w:shd w:val="clear" w:color="auto" w:fill="FFFFFF"/>
      <w:spacing w:line="644" w:lineRule="exact"/>
      <w:jc w:val="both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2836B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0274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02746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8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Немыкина</dc:creator>
  <cp:keywords/>
  <dc:description/>
  <cp:lastModifiedBy>Валентина Мещерякова</cp:lastModifiedBy>
  <cp:revision>3</cp:revision>
  <cp:lastPrinted>2022-01-13T07:53:00Z</cp:lastPrinted>
  <dcterms:created xsi:type="dcterms:W3CDTF">2022-05-24T08:04:00Z</dcterms:created>
  <dcterms:modified xsi:type="dcterms:W3CDTF">2022-05-24T11:50:00Z</dcterms:modified>
</cp:coreProperties>
</file>