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6A4593" w:rsidRPr="00E5683D" w:rsidTr="008C0DA2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593" w:rsidRPr="00E5683D" w:rsidRDefault="006A4593" w:rsidP="008C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0AE3" w:rsidRPr="00E20AE3" w:rsidRDefault="00E20AE3" w:rsidP="00E20AE3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E20AE3" w:rsidRPr="00E20AE3" w:rsidRDefault="00E20AE3" w:rsidP="00E20AE3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20AE3" w:rsidRPr="00E20AE3" w:rsidRDefault="00E20AE3" w:rsidP="00E20AE3">
      <w:pPr>
        <w:widowControl w:val="0"/>
        <w:tabs>
          <w:tab w:val="left" w:pos="32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20AE3" w:rsidRPr="00E20AE3" w:rsidRDefault="00E20AE3" w:rsidP="00E20AE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г.                                                                                        № 14/183</w:t>
      </w: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Новоалександровск</w:t>
      </w: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E2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частью 5 статьи 7 Закона Ставропольского края от 14 апреля 2017 года № 34-кз «О преобразовании муниципальных образований, входящих в состав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края», рассмотрев представленный администрацией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отчет об исполнении бюджета</w:t>
      </w:r>
      <w:proofErr w:type="gram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год, Совет депутатов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по доходам в сумме 23894,01 тыс. рублей и по расходам в сумме 19762,21 тыс. рублей с превышением доходов над расходами в сумме 4131,8 тыс. рублей и со следующими показателями: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классификации доходов бюджетов за 2017 год согласно приложению 1 к настоящему решению;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ведомственной структуре расходов 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согласно приложению 2 к настоящему решению;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разделам и подразделам классификации расходов бюджетов за 2017 год согласно приложению 3 к настоящему решению;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муниципального образования Горьковского сельсовета</w:t>
      </w:r>
      <w:proofErr w:type="gram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классификации источников финансирования дефицитов бюджетов за 2017 год согласно приложению 4 к настоящему решению;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муниципальных служащих и работников муниципальных учреждений муниципального образования Горьковского сельсовета </w:t>
      </w:r>
      <w:proofErr w:type="spell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и фактические расходы на оплату их труда за 2017 год согласно приложению 5 к настоящему решению.</w:t>
      </w:r>
    </w:p>
    <w:p w:rsidR="00E20AE3" w:rsidRPr="00E20AE3" w:rsidRDefault="00E20AE3" w:rsidP="00E2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20AE3" w:rsidRPr="00E20AE3" w:rsidTr="00214E9A">
        <w:trPr>
          <w:trHeight w:val="1940"/>
        </w:trPr>
        <w:tc>
          <w:tcPr>
            <w:tcW w:w="4785" w:type="dxa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Д.В.Страхов</w:t>
            </w:r>
            <w:proofErr w:type="spellEnd"/>
          </w:p>
        </w:tc>
        <w:tc>
          <w:tcPr>
            <w:tcW w:w="4785" w:type="dxa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С.Ф.Сагалаев</w:t>
            </w:r>
            <w:proofErr w:type="spellEnd"/>
          </w:p>
        </w:tc>
      </w:tr>
    </w:tbl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края </w:t>
      </w:r>
      <w:bookmarkStart w:id="0" w:name="_GoBack"/>
      <w:bookmarkEnd w:id="0"/>
      <w:r w:rsidRPr="00E20AE3">
        <w:rPr>
          <w:rFonts w:ascii="Times New Roman" w:eastAsia="Calibri" w:hAnsi="Times New Roman" w:cs="Times New Roman"/>
          <w:sz w:val="28"/>
          <w:szCs w:val="28"/>
        </w:rPr>
        <w:t>«Отчет об исполнении бюджета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Горьковского сельсовета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от 24 апреля 2018 г. № 14/183</w:t>
      </w:r>
    </w:p>
    <w:p w:rsidR="00E20AE3" w:rsidRPr="00E20AE3" w:rsidRDefault="00E20AE3" w:rsidP="00E20AE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</w:t>
      </w:r>
      <w:r w:rsidRPr="00E20AE3">
        <w:rPr>
          <w:rFonts w:ascii="Times New Roman" w:eastAsia="Calibri" w:hAnsi="Times New Roman" w:cs="Times New Roman"/>
          <w:sz w:val="28"/>
          <w:szCs w:val="28"/>
        </w:rPr>
        <w:t>ГОРЬКОВСКОГО СЕЛЬСОВЕТА</w:t>
      </w: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ПО КОДАМ КЛАССИФИКАЦИИ ДОХОДОВ БЮДЖЕТОВ ЗА 2017 ГОД</w:t>
      </w:r>
    </w:p>
    <w:p w:rsidR="00E20AE3" w:rsidRPr="00E20AE3" w:rsidRDefault="00E20AE3" w:rsidP="00E20AE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134"/>
        <w:gridCol w:w="1134"/>
        <w:gridCol w:w="850"/>
      </w:tblGrid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доходов и подвида доходов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2017 год,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утвержденному плану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227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227.1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9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228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227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227.1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12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228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182 1 01 02020 01 0000 110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20A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541,57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541,57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334,87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334,87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000 1 03 02250 01 0000 110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000 1 06 06043 10 0000 110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использования </w:t>
            </w: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201 1 11 05035 10 0000 120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в части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201 1 13 01995 10 0000 130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000 1 16 90000 00 0000 140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000 1 16 90050 10 0000 140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201 1 16 90050 10 0000 140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13852,61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13427,91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11646,58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11646,58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</w:t>
            </w: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201 2 02 15001 10 0000 151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201 2 02 15002 10 0000 151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Arial Unicode MS" w:hAnsi="Times New Roman" w:cs="Times New Roman"/>
                <w:snapToGrid w:val="0"/>
                <w:sz w:val="20"/>
                <w:szCs w:val="20"/>
                <w:lang w:eastAsia="ru-RU"/>
              </w:rPr>
              <w:t>Прочие субсидии бюджетам сельским поселениям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201 2 02 29999 10 0018 151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201 2 02 29999 10 0159 151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 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201 2 02 35118 10 0000 151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201 2 02 35930 10 0000 151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201 2 02 49999 10 1152 151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(обеспечение выплаты работникам организаций, финансируемых из местных бюджетов, минимального </w:t>
            </w:r>
            <w:proofErr w:type="gramStart"/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201 2 02 49999 10 1159 151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000 2 07 05000 10 0000 180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000 2 07 05020 10 0000 180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201 2 07 05020 10 0000 180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201 2 07 05030 10 0000 180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23894,01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</w:tbl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788C" w:rsidRPr="00E5683D">
        <w:rPr>
          <w:rFonts w:ascii="Times New Roman" w:hAnsi="Times New Roman" w:cs="Times New Roman"/>
          <w:sz w:val="28"/>
          <w:szCs w:val="28"/>
        </w:rPr>
        <w:t>2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к решени</w:t>
      </w:r>
      <w:r w:rsidR="00E20AE3">
        <w:rPr>
          <w:rFonts w:ascii="Times New Roman" w:hAnsi="Times New Roman" w:cs="Times New Roman"/>
          <w:sz w:val="28"/>
          <w:szCs w:val="28"/>
        </w:rPr>
        <w:t>ю</w:t>
      </w:r>
      <w:r w:rsidRPr="00E5683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депутатов Новоалександровского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городского округа Ставропольского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края «Отчет об исполнении бюджета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Горьковского сельсовета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Новоалександровского района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>Ставропольского края за 2017 год»</w:t>
      </w:r>
    </w:p>
    <w:p w:rsidR="000D267E" w:rsidRPr="00E5683D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83D">
        <w:rPr>
          <w:rFonts w:ascii="Times New Roman" w:hAnsi="Times New Roman" w:cs="Times New Roman"/>
          <w:sz w:val="28"/>
          <w:szCs w:val="28"/>
        </w:rPr>
        <w:t xml:space="preserve">от </w:t>
      </w:r>
      <w:r w:rsidR="00E20AE3">
        <w:rPr>
          <w:rFonts w:ascii="Times New Roman" w:hAnsi="Times New Roman" w:cs="Times New Roman"/>
          <w:sz w:val="28"/>
          <w:szCs w:val="28"/>
        </w:rPr>
        <w:t>24 апреля</w:t>
      </w:r>
      <w:r w:rsidRPr="00E5683D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E20AE3">
        <w:rPr>
          <w:rFonts w:ascii="Times New Roman" w:hAnsi="Times New Roman" w:cs="Times New Roman"/>
          <w:sz w:val="28"/>
          <w:szCs w:val="28"/>
        </w:rPr>
        <w:t xml:space="preserve"> 14/183</w:t>
      </w:r>
    </w:p>
    <w:p w:rsidR="000D267E" w:rsidRPr="00E5683D" w:rsidRDefault="000D267E" w:rsidP="00E568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267E" w:rsidRPr="00E5683D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ГОРЬКОВСКОГО СЕЛЬСОВЕТА НОВОАЛЕКСАНДРОВСКОГО РАЙОНА СТАВРОПОЛЬСКОГО КРАЯ ПО </w:t>
      </w:r>
      <w:r w:rsidR="00A15ECB" w:rsidRPr="00E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СТРУКТУРЕ РАСХОДОВ БЮДЖЕТА МУНИЦИПАЛЬНОГО ОБРАЗОВАНИЯ ГОРЬКОВСКОГО СЕЛЬСОВЕТА НОВОАЛЕКСАНДРОВСКОГО РАЙОНА СТАВРОПОЛЬСКОГО КРАЯ</w:t>
      </w:r>
      <w:r w:rsidRPr="00E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0D267E" w:rsidRPr="00E5683D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0"/>
        <w:gridCol w:w="425"/>
        <w:gridCol w:w="542"/>
        <w:gridCol w:w="1134"/>
        <w:gridCol w:w="535"/>
        <w:gridCol w:w="1166"/>
        <w:gridCol w:w="1276"/>
        <w:gridCol w:w="709"/>
      </w:tblGrid>
      <w:tr w:rsidR="00CC5DD7" w:rsidRPr="00E5683D" w:rsidTr="00652EB1">
        <w:trPr>
          <w:trHeight w:val="510"/>
        </w:trPr>
        <w:tc>
          <w:tcPr>
            <w:tcW w:w="3085" w:type="dxa"/>
            <w:vMerge w:val="restart"/>
            <w:noWrap/>
          </w:tcPr>
          <w:p w:rsidR="00CC5DD7" w:rsidRPr="00E5683D" w:rsidRDefault="00CC5DD7" w:rsidP="0030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0" w:type="dxa"/>
            <w:vMerge w:val="restart"/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5" w:type="dxa"/>
            <w:vMerge w:val="restart"/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42" w:type="dxa"/>
            <w:vMerge w:val="restart"/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5" w:type="dxa"/>
            <w:vMerge w:val="restart"/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</w:tcPr>
          <w:p w:rsidR="00CC5DD7" w:rsidRPr="00E5683D" w:rsidRDefault="00954784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</w:t>
            </w:r>
            <w:r w:rsidR="00CC5DD7"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2017 год с учетом изменений, </w:t>
            </w: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тыс. </w:t>
            </w:r>
            <w:r w:rsidR="00CC5DD7"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276" w:type="dxa"/>
            <w:vMerge w:val="restart"/>
          </w:tcPr>
          <w:p w:rsidR="00CC5DD7" w:rsidRPr="00E5683D" w:rsidRDefault="00954784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CC5DD7"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сполнен</w:t>
            </w: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CC5DD7"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 2017 год, </w:t>
            </w: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тыс. </w:t>
            </w:r>
            <w:r w:rsidR="00CC5DD7"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709" w:type="dxa"/>
            <w:vMerge w:val="restart"/>
          </w:tcPr>
          <w:p w:rsidR="00CC5DD7" w:rsidRPr="00E5683D" w:rsidRDefault="00954784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Процент исполнения к утвержденному плану</w:t>
            </w:r>
          </w:p>
        </w:tc>
      </w:tr>
      <w:tr w:rsidR="00CC5DD7" w:rsidRPr="00E5683D" w:rsidTr="00652EB1">
        <w:trPr>
          <w:trHeight w:val="8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5DD7" w:rsidRPr="00E5683D" w:rsidRDefault="00CC5DD7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D3CBB" w:rsidRPr="00E5683D" w:rsidTr="00652EB1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BB" w:rsidRPr="00E5683D" w:rsidRDefault="006D3CBB" w:rsidP="006D3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Горьковского сельсовета Новоалександровского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EC0E0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20779,03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EC0E0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EC0E0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6D3CBB" w:rsidRPr="00E5683D" w:rsidTr="00652EB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6D3C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6D3CB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="00BC2F35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5295,2</w:t>
            </w:r>
            <w:r w:rsidR="00F6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301C6C" w:rsidRPr="00E5683D" w:rsidTr="00652EB1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C" w:rsidRPr="00E5683D" w:rsidRDefault="00301C6C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301C6C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6C" w:rsidRPr="00E5683D" w:rsidRDefault="00301C6C" w:rsidP="0030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BC2F35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01C6C" w:rsidRPr="00E5683D" w:rsidRDefault="00301C6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BC2F35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E5683D" w:rsidRDefault="00301C6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 Обеспечение реализации муниципальной программы «Устойчивое развитие муниципального образования Горьковского сельсовета Новоалександровского района Ставропольского края» и общепрограммные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1459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592" w:rsidRPr="00E5683D" w:rsidRDefault="00814592" w:rsidP="008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81459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592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2000710020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522468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68" w:rsidRPr="00E5683D" w:rsidRDefault="0052246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468" w:rsidRPr="00E5683D" w:rsidRDefault="00FE7FEE" w:rsidP="002D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522468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68" w:rsidRPr="00E5683D" w:rsidRDefault="0052246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на проведение мероприятий по реализации Закона Ставропольского края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2468" w:rsidRPr="00E5683D" w:rsidRDefault="00522468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468" w:rsidRPr="00E5683D" w:rsidRDefault="00522468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522468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68" w:rsidRPr="00E5683D" w:rsidRDefault="00FE7FEE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FEE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FE7FEE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EE" w:rsidRPr="00E5683D" w:rsidRDefault="00FE7FEE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FE7FE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FEE" w:rsidRPr="00E5683D" w:rsidRDefault="0025106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FE7FEE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EE" w:rsidRPr="00E5683D" w:rsidRDefault="00FE7FEE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1B24C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24CB" w:rsidRPr="00E5683D" w:rsidRDefault="001B24C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24CB" w:rsidRPr="00E5683D" w:rsidRDefault="001B24C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24CB" w:rsidRPr="00E5683D" w:rsidRDefault="001B24C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1B24C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24CB" w:rsidRPr="00E5683D" w:rsidRDefault="001B24C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7FEE" w:rsidRPr="00E5683D" w:rsidRDefault="001B24C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CB" w:rsidRPr="00E5683D" w:rsidRDefault="0025106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 </w:t>
            </w:r>
            <w:r w:rsidR="00840D0D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BC2F35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8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8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84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Проведение выборов в представительные органы муниципального образования поселения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D0D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0D" w:rsidRPr="00E5683D" w:rsidRDefault="00840D0D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0D0D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D0D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25106E" w:rsidRPr="00E5683D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  <w:r w:rsidR="00495808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840D0D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25106E" w:rsidRPr="00E5683D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  <w:r w:rsidR="00495808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840D0D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1356,</w:t>
            </w:r>
            <w:r w:rsidR="00082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5F1D3A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5F1D3A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5F1D3A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1353,6</w:t>
            </w:r>
            <w:r w:rsidR="00082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5F1D3A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5F1D3A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D3A" w:rsidRPr="00E5683D" w:rsidRDefault="005F1D3A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гарантий муниципальных служащих </w:t>
            </w:r>
            <w:r w:rsidR="0089035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89035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89035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89035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89035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5F1D3A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857AAB" w:rsidRDefault="0089035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252,5</w:t>
            </w:r>
            <w:r w:rsidR="00857AAB" w:rsidRP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857AAB" w:rsidRDefault="0089035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252,5</w:t>
            </w:r>
            <w:r w:rsidR="00857AAB" w:rsidRP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D3A" w:rsidRPr="00E5683D" w:rsidRDefault="0089035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9035C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35C" w:rsidRPr="00E5683D" w:rsidRDefault="0089035C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C55B9B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85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252,5</w:t>
            </w:r>
            <w:r w:rsid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035C" w:rsidRPr="00E5683D" w:rsidRDefault="00C55B9B" w:rsidP="0085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252,5</w:t>
            </w:r>
            <w:r w:rsidR="00857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35C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1D3A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C55B9B">
        <w:trPr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оформление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F35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C2F35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35" w:rsidRPr="00E5683D" w:rsidRDefault="00BC2F3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2F35" w:rsidRPr="00E5683D" w:rsidRDefault="00BC2F35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754,9</w:t>
            </w:r>
            <w:r w:rsidR="00082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0702A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0702A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0702A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0702A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082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25106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мероприятий по противодействию коррупции в сфере деятельности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9C55A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A6" w:rsidRPr="00E5683D" w:rsidRDefault="009C55A6" w:rsidP="009C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</w:t>
            </w:r>
            <w:r w:rsidR="002D0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уплату членских взносов в Ассоциацию "Совет муниципальных образований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9C55A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A6" w:rsidRPr="00E5683D" w:rsidRDefault="009C55A6" w:rsidP="009C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5A6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D0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на проведение мероприятий по реализации Закона Ставропольского края "О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5A6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9C55A6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55B9B" w:rsidRPr="00E5683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9C55A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</w:t>
            </w:r>
            <w:r w:rsidR="00125D70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25D70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D70" w:rsidRPr="00E5683D" w:rsidRDefault="00125D70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25D70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D70" w:rsidRPr="00E5683D" w:rsidRDefault="00125D70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25D70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D70" w:rsidRPr="00E5683D" w:rsidRDefault="00125D70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D70" w:rsidRPr="00E5683D" w:rsidRDefault="00125D70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  <w:r w:rsidR="00125D70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506A2C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2C" w:rsidRPr="00E5683D" w:rsidRDefault="00506A2C" w:rsidP="0050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506A2C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2C" w:rsidRPr="00E5683D" w:rsidRDefault="00506A2C" w:rsidP="0050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A2C" w:rsidRPr="00E5683D" w:rsidRDefault="00506A2C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дорожной сети, транспортное обслуживание на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200030000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2000320100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2000320100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727,8</w:t>
            </w:r>
            <w:r w:rsidR="00604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E23D12" w:rsidP="002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5F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жилищного, коммунального хозяйства и благоустройство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E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55B9B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B9B" w:rsidRPr="00E5683D" w:rsidRDefault="00C55B9B" w:rsidP="00C5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C55B9B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B9B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жилищного, коммунального хозяйства и благоустройство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EE791C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361,7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361,7</w:t>
            </w:r>
            <w:r w:rsidR="00882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озеленение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противоклещевую обработку территорий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культуры на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103307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E23D12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DA0" w:rsidRPr="00E5683D" w:rsidRDefault="004C35E6" w:rsidP="003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4D6DA0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23D12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12" w:rsidRPr="00E5683D" w:rsidRDefault="00E23D12" w:rsidP="00E2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</w:t>
            </w:r>
            <w:proofErr w:type="gramStart"/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E23D12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D12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культуры за счет сре</w:t>
            </w:r>
            <w:proofErr w:type="gramStart"/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</w:t>
            </w: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</w:t>
            </w:r>
            <w:r w:rsidR="00894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</w:t>
            </w:r>
            <w:r w:rsidR="00894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</w:rPr>
              <w:t>20001</w:t>
            </w: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</w:t>
            </w:r>
            <w:r w:rsidR="00894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</w:t>
            </w:r>
            <w:r w:rsidR="00894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89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2000500000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2000511010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2000511010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2000511010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865B94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2000511010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32D1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A32D1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A32D1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по обслуживанию муниципального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A32D1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6010020370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A32D1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6010020370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8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  <w:r w:rsidR="00CE6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E6" w:rsidRPr="00E5683D" w:rsidRDefault="00A32D1E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4C35E6" w:rsidRPr="00E5683D" w:rsidTr="00652EB1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E6" w:rsidRPr="00E5683D" w:rsidRDefault="004C35E6" w:rsidP="004C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20779,03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5E6" w:rsidRPr="00E5683D" w:rsidRDefault="004C35E6" w:rsidP="00CB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D1E" w:rsidRPr="00E5683D" w:rsidRDefault="00070261" w:rsidP="003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="00A32D1E" w:rsidRPr="00E5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</w:p>
        </w:tc>
      </w:tr>
    </w:tbl>
    <w:p w:rsidR="004C4C85" w:rsidRDefault="004C4C85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Горьковского сельсовета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14/183</w:t>
      </w:r>
    </w:p>
    <w:p w:rsidR="00E20AE3" w:rsidRPr="00E20AE3" w:rsidRDefault="00E20AE3" w:rsidP="00E20AE3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900"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E3" w:rsidRPr="00E20AE3" w:rsidRDefault="00E20AE3" w:rsidP="00E20AE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ГОРЬКОВСКОГО СЕЛЬСОВЕТА НОВОАЛЕКСАНДРОВСКОГО РАЙОНА СТАВРОПОЛЬСКОГО КРАЯ ПО РАЗДЕЛАМ (РЗ) И ПОДРАЗДЕЛАМ (</w:t>
      </w:r>
      <w:proofErr w:type="gram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КЛАССИФИКАЦИИ РАСХОДОВ БЮДЖЕТОВ ЗА 2017 ГОД</w:t>
      </w:r>
    </w:p>
    <w:p w:rsidR="00E20AE3" w:rsidRPr="00E20AE3" w:rsidRDefault="00E20AE3" w:rsidP="00E20AE3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6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49"/>
        <w:gridCol w:w="555"/>
        <w:gridCol w:w="1146"/>
        <w:gridCol w:w="1221"/>
        <w:gridCol w:w="1016"/>
      </w:tblGrid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год, с учетом изменений тыс. рублей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5624,26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5295,24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531,03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531,03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6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3035,42</w:t>
            </w:r>
          </w:p>
        </w:tc>
        <w:tc>
          <w:tcPr>
            <w:tcW w:w="1221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2842,17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560,04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1382,53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1356,80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849,59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659,32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849,59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659,32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896,19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727,87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47,64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848,19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680,23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6683,25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6625,53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6683,25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6625,53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6561,42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6290,41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6561,42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6290,41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E20AE3" w:rsidRPr="00E20AE3" w:rsidTr="00214E9A">
        <w:tc>
          <w:tcPr>
            <w:tcW w:w="476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20779,03</w:t>
            </w:r>
          </w:p>
        </w:tc>
        <w:tc>
          <w:tcPr>
            <w:tcW w:w="1221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19762,21</w:t>
            </w:r>
          </w:p>
        </w:tc>
        <w:tc>
          <w:tcPr>
            <w:tcW w:w="1016" w:type="dxa"/>
            <w:shd w:val="clear" w:color="auto" w:fill="auto"/>
            <w:noWrap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E20AE3" w:rsidRPr="00E20AE3" w:rsidTr="00214E9A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AE3" w:rsidRPr="00E20AE3" w:rsidRDefault="00E20AE3" w:rsidP="00E2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Горьковского сельсовета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14/183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МУНИЦИПАЛЬНОГО ОБРАЗОВАНИЯ ГОРЬКОВСКОГО СЕЛЬСОВЕТА</w:t>
      </w:r>
      <w:proofErr w:type="gramEnd"/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ПО КОДАМ КЛАССИФИКАЦИИ ИСТОЧНИКОВ ФИНАНСИРОВАНИЯ ДЕФИЦИТОВ БЮДЖЕТОВ ЗА 2017 ГОД</w:t>
      </w: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20"/>
        <w:gridCol w:w="1700"/>
        <w:gridCol w:w="1539"/>
        <w:gridCol w:w="32"/>
      </w:tblGrid>
      <w:tr w:rsidR="00E20AE3" w:rsidRPr="00E20AE3" w:rsidTr="00214E9A">
        <w:trPr>
          <w:gridAfter w:val="1"/>
          <w:wAfter w:w="32" w:type="dxa"/>
        </w:trPr>
        <w:tc>
          <w:tcPr>
            <w:tcW w:w="3119" w:type="dxa"/>
            <w:hideMark/>
          </w:tcPr>
          <w:p w:rsidR="00E20AE3" w:rsidRPr="00E20AE3" w:rsidRDefault="00E20AE3" w:rsidP="00E20A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20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1539" w:type="dxa"/>
            <w:shd w:val="clear" w:color="auto" w:fill="auto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2017 год, тыс. рублей</w:t>
            </w:r>
          </w:p>
        </w:tc>
      </w:tr>
      <w:tr w:rsidR="00E20AE3" w:rsidRPr="00E20AE3" w:rsidTr="00214E9A">
        <w:trPr>
          <w:gridAfter w:val="1"/>
          <w:wAfter w:w="32" w:type="dxa"/>
          <w:trHeight w:val="258"/>
        </w:trPr>
        <w:tc>
          <w:tcPr>
            <w:tcW w:w="3119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0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9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0AE3" w:rsidRPr="00E20AE3" w:rsidTr="00214E9A">
        <w:trPr>
          <w:gridAfter w:val="1"/>
          <w:wAfter w:w="32" w:type="dxa"/>
          <w:trHeight w:val="711"/>
        </w:trPr>
        <w:tc>
          <w:tcPr>
            <w:tcW w:w="3119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Всего источников финансирования дефицита бюджета муниципального района</w:t>
            </w:r>
          </w:p>
        </w:tc>
        <w:tc>
          <w:tcPr>
            <w:tcW w:w="3120" w:type="dxa"/>
            <w:hideMark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0" w:type="dxa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-1038,69</w:t>
            </w:r>
          </w:p>
        </w:tc>
        <w:tc>
          <w:tcPr>
            <w:tcW w:w="1539" w:type="dxa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lang w:eastAsia="ru-RU"/>
              </w:rPr>
              <w:t>-4131,80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65"/>
        </w:trPr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201 0103 0000 00 0000 000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  <w:tc>
          <w:tcPr>
            <w:tcW w:w="1539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201 01 03 0100 00 0000 000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  <w:tc>
          <w:tcPr>
            <w:tcW w:w="1539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201 01 03 0100 00 0000 800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201 01 030100 10 0000 810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-2933,0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201 01 05 00 00 00 0000 000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1894,31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-1198,80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Увеличение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201 01 05 00 00 00 0000 500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-21626,44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-24016,60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 xml:space="preserve">Увеличение прочих остатков 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201 01 05 02 00 00 0000 500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-21626,44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Calibri" w:eastAsia="Calibri" w:hAnsi="Calibri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-24016,60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 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201 01 05 02 01 00 0000 510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-21626,44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Calibri" w:eastAsia="Calibri" w:hAnsi="Calibri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-24016,60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201 01 05 02 01 10 0000 510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-21626,44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Calibri" w:eastAsia="Calibri" w:hAnsi="Calibri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-24016,60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Уменьшение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201 01 05 00 00 00 0000 600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23712,03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22817,80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 xml:space="preserve">Уменьшение прочих остатков 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201 01 05 02 00 00 0000 600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23712,03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22817,80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 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201 01 05 02 01 00 0000 610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23712,03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22817,80</w:t>
            </w:r>
          </w:p>
        </w:tc>
      </w:tr>
      <w:tr w:rsidR="00E20AE3" w:rsidRPr="00E20AE3" w:rsidTr="00214E9A">
        <w:tblPrEx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auto"/>
          </w:tcPr>
          <w:p w:rsidR="00E20AE3" w:rsidRPr="00E20AE3" w:rsidRDefault="00E20AE3" w:rsidP="00E20A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E20AE3" w:rsidRPr="00E20AE3" w:rsidRDefault="00E20AE3" w:rsidP="00E20AE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AE3">
              <w:rPr>
                <w:rFonts w:ascii="Times New Roman" w:eastAsia="Times New Roman" w:hAnsi="Times New Roman" w:cs="Times New Roman"/>
                <w:lang w:eastAsia="ar-SA"/>
              </w:rPr>
              <w:t>201 01 05 02 01 10 0000 610</w:t>
            </w:r>
          </w:p>
        </w:tc>
        <w:tc>
          <w:tcPr>
            <w:tcW w:w="1700" w:type="dxa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23712,03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E20AE3" w:rsidRPr="00E20AE3" w:rsidRDefault="00E20AE3" w:rsidP="00E20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0AE3">
              <w:rPr>
                <w:rFonts w:ascii="Times New Roman" w:eastAsia="Calibri" w:hAnsi="Times New Roman" w:cs="Times New Roman"/>
              </w:rPr>
              <w:t>22817,80</w:t>
            </w:r>
          </w:p>
        </w:tc>
      </w:tr>
    </w:tbl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Default="00E20AE3" w:rsidP="00E20A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Горьковского сельсовета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A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AE3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E20AE3" w:rsidRPr="00E20AE3" w:rsidRDefault="00E20AE3" w:rsidP="00E20AE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E20AE3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14/183</w:t>
      </w:r>
    </w:p>
    <w:p w:rsidR="00E20AE3" w:rsidRPr="00E20AE3" w:rsidRDefault="00E20AE3" w:rsidP="00E20AE3">
      <w:pPr>
        <w:rPr>
          <w:rFonts w:ascii="Calibri" w:eastAsia="Calibri" w:hAnsi="Calibri" w:cs="Times New Roman"/>
          <w:sz w:val="20"/>
          <w:szCs w:val="20"/>
        </w:rPr>
      </w:pPr>
    </w:p>
    <w:p w:rsidR="00E20AE3" w:rsidRPr="00E20AE3" w:rsidRDefault="00E20AE3" w:rsidP="00E20AE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МУНИЦИПАЛЬНОГО ОБРАЗОВАНИЯ ГОРЬКОВСКОГО СЕЛЬСОВЕТА НОВОАЛЕКСАНДРОВСКОГО РАЙОНА СТАВРОПОЛЬСКОГО КРАЯ И ФАКТИЧЕСКИЕ РАСХОДЫ НА ОПЛАТУ ИХ ТРУДА</w:t>
      </w:r>
    </w:p>
    <w:p w:rsidR="00E20AE3" w:rsidRPr="00E20AE3" w:rsidRDefault="00E20AE3" w:rsidP="00E2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E20AE3" w:rsidRPr="00E20AE3" w:rsidRDefault="00E20AE3" w:rsidP="00E20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AE3" w:rsidRPr="00E20AE3" w:rsidRDefault="00E20AE3" w:rsidP="00E20AE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E20AE3" w:rsidRPr="00E20AE3" w:rsidTr="00214E9A"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труда, тыс. рублей</w:t>
            </w:r>
          </w:p>
        </w:tc>
      </w:tr>
      <w:tr w:rsidR="00E20AE3" w:rsidRPr="00E20AE3" w:rsidTr="00214E9A"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2 489,42</w:t>
            </w:r>
          </w:p>
        </w:tc>
      </w:tr>
      <w:tr w:rsidR="00E20AE3" w:rsidRPr="00E20AE3" w:rsidTr="00214E9A"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0" w:type="dxa"/>
            <w:shd w:val="clear" w:color="auto" w:fill="auto"/>
          </w:tcPr>
          <w:p w:rsidR="00E20AE3" w:rsidRPr="00E20AE3" w:rsidRDefault="00E20AE3" w:rsidP="00E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6 669,00</w:t>
            </w:r>
          </w:p>
        </w:tc>
      </w:tr>
    </w:tbl>
    <w:p w:rsidR="00E20AE3" w:rsidRPr="00E20AE3" w:rsidRDefault="00E20AE3" w:rsidP="00E20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AE3" w:rsidRPr="00E20AE3" w:rsidRDefault="00E20AE3" w:rsidP="00E20A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sectPr w:rsidR="00E20AE3" w:rsidRPr="00E20AE3" w:rsidSect="00E86BD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E2"/>
    <w:multiLevelType w:val="hybridMultilevel"/>
    <w:tmpl w:val="7EAE4036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96ED9"/>
    <w:multiLevelType w:val="hybridMultilevel"/>
    <w:tmpl w:val="315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B6FCB"/>
    <w:multiLevelType w:val="hybridMultilevel"/>
    <w:tmpl w:val="0E0E8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64B6B"/>
    <w:multiLevelType w:val="multilevel"/>
    <w:tmpl w:val="F32A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E5D779B"/>
    <w:multiLevelType w:val="multilevel"/>
    <w:tmpl w:val="0E0E8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6"/>
    <w:rsid w:val="00036139"/>
    <w:rsid w:val="00037B61"/>
    <w:rsid w:val="00050789"/>
    <w:rsid w:val="00070261"/>
    <w:rsid w:val="0008205D"/>
    <w:rsid w:val="000864F8"/>
    <w:rsid w:val="000D267E"/>
    <w:rsid w:val="000E6EBF"/>
    <w:rsid w:val="00103307"/>
    <w:rsid w:val="00103CA3"/>
    <w:rsid w:val="00125D70"/>
    <w:rsid w:val="00184603"/>
    <w:rsid w:val="001B24CB"/>
    <w:rsid w:val="001F5272"/>
    <w:rsid w:val="0025106E"/>
    <w:rsid w:val="002A6D66"/>
    <w:rsid w:val="002C5F0E"/>
    <w:rsid w:val="002D0FAF"/>
    <w:rsid w:val="00301C6C"/>
    <w:rsid w:val="0032730A"/>
    <w:rsid w:val="00340733"/>
    <w:rsid w:val="0036716D"/>
    <w:rsid w:val="003675BF"/>
    <w:rsid w:val="00370B85"/>
    <w:rsid w:val="00372AD6"/>
    <w:rsid w:val="00377762"/>
    <w:rsid w:val="00390C4E"/>
    <w:rsid w:val="003B7DEB"/>
    <w:rsid w:val="004406C7"/>
    <w:rsid w:val="00440B5D"/>
    <w:rsid w:val="00495808"/>
    <w:rsid w:val="004A6624"/>
    <w:rsid w:val="004C35E6"/>
    <w:rsid w:val="004C4C85"/>
    <w:rsid w:val="004D082A"/>
    <w:rsid w:val="004D6DA0"/>
    <w:rsid w:val="004E34EB"/>
    <w:rsid w:val="00506A2C"/>
    <w:rsid w:val="0050702A"/>
    <w:rsid w:val="00522468"/>
    <w:rsid w:val="00525497"/>
    <w:rsid w:val="0052556D"/>
    <w:rsid w:val="00587BBF"/>
    <w:rsid w:val="005E318F"/>
    <w:rsid w:val="005F1D3A"/>
    <w:rsid w:val="0060421A"/>
    <w:rsid w:val="00615A86"/>
    <w:rsid w:val="00652EB1"/>
    <w:rsid w:val="00661407"/>
    <w:rsid w:val="00665AA7"/>
    <w:rsid w:val="006A026A"/>
    <w:rsid w:val="006A4593"/>
    <w:rsid w:val="006B6052"/>
    <w:rsid w:val="006D3CBB"/>
    <w:rsid w:val="007008D1"/>
    <w:rsid w:val="00726518"/>
    <w:rsid w:val="00732530"/>
    <w:rsid w:val="00762144"/>
    <w:rsid w:val="00781AAD"/>
    <w:rsid w:val="00814592"/>
    <w:rsid w:val="00840D0D"/>
    <w:rsid w:val="00857AAB"/>
    <w:rsid w:val="00865B94"/>
    <w:rsid w:val="0087387D"/>
    <w:rsid w:val="00882D8D"/>
    <w:rsid w:val="0089035C"/>
    <w:rsid w:val="0089452B"/>
    <w:rsid w:val="00894F41"/>
    <w:rsid w:val="00897B74"/>
    <w:rsid w:val="008A618F"/>
    <w:rsid w:val="008C0DA2"/>
    <w:rsid w:val="008E19C7"/>
    <w:rsid w:val="00903697"/>
    <w:rsid w:val="00944D73"/>
    <w:rsid w:val="00944E90"/>
    <w:rsid w:val="00954784"/>
    <w:rsid w:val="009A6384"/>
    <w:rsid w:val="009C55A6"/>
    <w:rsid w:val="009F7402"/>
    <w:rsid w:val="00A15ECB"/>
    <w:rsid w:val="00A32D1E"/>
    <w:rsid w:val="00A6788C"/>
    <w:rsid w:val="00B41B87"/>
    <w:rsid w:val="00BC2F35"/>
    <w:rsid w:val="00C23A6B"/>
    <w:rsid w:val="00C24296"/>
    <w:rsid w:val="00C55B9B"/>
    <w:rsid w:val="00C80CDA"/>
    <w:rsid w:val="00C9522B"/>
    <w:rsid w:val="00CB4121"/>
    <w:rsid w:val="00CC5DD7"/>
    <w:rsid w:val="00CE0EF4"/>
    <w:rsid w:val="00CE6D72"/>
    <w:rsid w:val="00D024EA"/>
    <w:rsid w:val="00D06C46"/>
    <w:rsid w:val="00D24572"/>
    <w:rsid w:val="00D439C7"/>
    <w:rsid w:val="00D95A0F"/>
    <w:rsid w:val="00DB7671"/>
    <w:rsid w:val="00DC136B"/>
    <w:rsid w:val="00E1438B"/>
    <w:rsid w:val="00E20AE3"/>
    <w:rsid w:val="00E23D12"/>
    <w:rsid w:val="00E479D3"/>
    <w:rsid w:val="00E47E95"/>
    <w:rsid w:val="00E5683D"/>
    <w:rsid w:val="00E86BD4"/>
    <w:rsid w:val="00E90612"/>
    <w:rsid w:val="00EC0E00"/>
    <w:rsid w:val="00EE791C"/>
    <w:rsid w:val="00EF4971"/>
    <w:rsid w:val="00F52B1A"/>
    <w:rsid w:val="00F64E1E"/>
    <w:rsid w:val="00FA0D29"/>
    <w:rsid w:val="00FE7FEE"/>
    <w:rsid w:val="00FF6EC2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20AE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">
    <w:name w:val="Знак Знак"/>
    <w:basedOn w:val="a"/>
    <w:next w:val="a"/>
    <w:semiHidden/>
    <w:rsid w:val="000864F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20AE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20AE3"/>
  </w:style>
  <w:style w:type="paragraph" w:customStyle="1" w:styleId="ConsNormal">
    <w:name w:val="ConsNormal"/>
    <w:rsid w:val="00E20A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0AE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20AE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0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 Знак Знак"/>
    <w:basedOn w:val="a"/>
    <w:next w:val="a"/>
    <w:semiHidden/>
    <w:rsid w:val="00E20AE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20AE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9">
    <w:name w:val="Знак Знак"/>
    <w:basedOn w:val="a"/>
    <w:next w:val="a"/>
    <w:semiHidden/>
    <w:rsid w:val="000864F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20AE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20AE3"/>
  </w:style>
  <w:style w:type="paragraph" w:customStyle="1" w:styleId="ConsNormal">
    <w:name w:val="ConsNormal"/>
    <w:rsid w:val="00E20A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0AE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20AE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0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 Знак Знак"/>
    <w:basedOn w:val="a"/>
    <w:next w:val="a"/>
    <w:semiHidden/>
    <w:rsid w:val="00E20AE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EDCF36DB84ECB48754EB219BEF9CF7C2A15A365D5A8FCOFoAH" TargetMode="External"/><Relationship Id="rId13" Type="http://schemas.openxmlformats.org/officeDocument/2006/relationships/hyperlink" Target="consultantplus://offline/ref=6A6E487AD0D2F9C4729731F911A46C0F1360D3B0EE8669F2D2526ACC1469597AFEB1E311F55BhDp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96DED81B41F57C9C9C6BFCF706217B3EDCF36DB84ECB48754EB219BEF9CF7C2A15A367D5A1OFo2H" TargetMode="External"/><Relationship Id="rId12" Type="http://schemas.openxmlformats.org/officeDocument/2006/relationships/hyperlink" Target="consultantplus://offline/ref=F496DED81B41F57C9C9C6BFCF706217B3EDCF36DB84ECB48754EB219BEF9CF7C2A15A365D5A1FFF4O9o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7AD9DD83CF83626CA3205959E74BE2C108D5C2246982C55FCB698B7033B5F2E71DE4BA5CBA7BD2OFq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96DED81B41F57C9C9C6BFCF706217B3EDCF36DB84ECB48754EB219BEF9CF7C2A15A365D5A8FCOFo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7AD9DD83CF83626CA3205959E74BE2C108D5C2246982C55FCB698B7033B5F2E71DE4BA5CBA7BD2OFq7H" TargetMode="External"/><Relationship Id="rId10" Type="http://schemas.openxmlformats.org/officeDocument/2006/relationships/hyperlink" Target="consultantplus://offline/ref=F496DED81B41F57C9C9C6BFCF706217B3EDCF36DB84ECB48754EB219BEF9CF7C2A15A367D5A1OFo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96DED81B41F57C9C9C6BFCF706217B3EDCF36DB84ECB48754EB219BEF9CF7C2A15A365D5A1FFF4O9oCH" TargetMode="External"/><Relationship Id="rId14" Type="http://schemas.openxmlformats.org/officeDocument/2006/relationships/hyperlink" Target="consultantplus://offline/ref=6A6E487AD0D2F9C4729731F911A46C0F1360D3B0EE8669F2D2526ACC1469597AFEB1E311F55BhD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22F3-600A-49DC-B7B8-D46B11A4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2018-03-16T08:52:00Z</cp:lastPrinted>
  <dcterms:created xsi:type="dcterms:W3CDTF">2018-05-10T10:03:00Z</dcterms:created>
  <dcterms:modified xsi:type="dcterms:W3CDTF">2018-05-10T10:03:00Z</dcterms:modified>
</cp:coreProperties>
</file>