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87" w:rsidRPr="002C3387" w:rsidRDefault="002C3387" w:rsidP="002C338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аукциона на право заключения договоров аренды земельных участков с кадастровыми номерами </w:t>
      </w:r>
      <w:r w:rsidRPr="002C338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26:04:020301:274, </w:t>
      </w: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26:04:020412:412</w:t>
      </w:r>
      <w:r w:rsidRPr="002C338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собственность на которые не разграничена.</w:t>
      </w:r>
    </w:p>
    <w:p w:rsidR="002C3387" w:rsidRPr="002C3387" w:rsidRDefault="002C3387" w:rsidP="002C3387">
      <w:pPr>
        <w:widowControl w:val="0"/>
        <w:tabs>
          <w:tab w:val="left" w:pos="90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C3387" w:rsidRPr="002C3387" w:rsidRDefault="002C3387" w:rsidP="002C3387">
      <w:pPr>
        <w:widowControl w:val="0"/>
        <w:tabs>
          <w:tab w:val="left" w:pos="90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извещение подготовлено в соответствии со статьями 39.11-39.13 Земельного кодекса Российской Федерации,</w:t>
      </w:r>
      <w:hyperlink r:id="rId6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</w:t>
        </w:r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универсальной торговой платформы АО "Сбербанк - АСТ",</w:t>
        </w:r>
      </w:hyperlink>
      <w:hyperlink r:id="rId8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Регламентом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9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торговой секции "Приватизация, аренда и продажа прав" универсальной торговой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0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платформы АО "Сбербанк - АСТ"</w:t>
        </w:r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Извещение определяет порядок и условия проведения аукциона в электронной форме на право заключения договора аренды земельного участка (далее - аукцион).</w:t>
      </w:r>
    </w:p>
    <w:p w:rsidR="002C3387" w:rsidRPr="002C3387" w:rsidRDefault="002C3387" w:rsidP="002C338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C3387" w:rsidRPr="002C3387" w:rsidRDefault="002C3387" w:rsidP="002C3387">
      <w:pPr>
        <w:widowControl w:val="0"/>
        <w:numPr>
          <w:ilvl w:val="0"/>
          <w:numId w:val="4"/>
        </w:numPr>
        <w:spacing w:after="6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</w:pPr>
      <w:proofErr w:type="spellStart"/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Информация</w:t>
      </w:r>
      <w:proofErr w:type="spellEnd"/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 xml:space="preserve"> </w:t>
      </w:r>
      <w:proofErr w:type="spellStart"/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об</w:t>
      </w:r>
      <w:proofErr w:type="spellEnd"/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 xml:space="preserve"> </w:t>
      </w:r>
      <w:proofErr w:type="spellStart"/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аукционе</w:t>
      </w:r>
      <w:proofErr w:type="spellEnd"/>
    </w:p>
    <w:p w:rsidR="002C3387" w:rsidRPr="002C3387" w:rsidRDefault="002C3387" w:rsidP="002C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электронного аукциона: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№1095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г.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электронного аукциона на право заключения договоров аренды земельных участков с кадастровыми номерами </w:t>
      </w:r>
      <w:r w:rsidRPr="002C338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26:04:020301:274,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26:04:020412:412 государственная собственность на которые не разграничена».</w:t>
      </w:r>
    </w:p>
    <w:p w:rsidR="002C3387" w:rsidRPr="002C3387" w:rsidRDefault="002C3387" w:rsidP="002C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электронного аукциона: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адрес: 356000, РФ, Ставропольский край,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город Новоалександровск,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315. </w:t>
      </w:r>
    </w:p>
    <w:p w:rsidR="002C3387" w:rsidRPr="002C3387" w:rsidRDefault="002C3387" w:rsidP="002C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1" w:history="1"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anmrsk@bk.ru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(8-86544) 6-31-47. </w:t>
      </w:r>
    </w:p>
    <w:p w:rsidR="002C3387" w:rsidRPr="002C3387" w:rsidRDefault="002C3387" w:rsidP="002C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принявший решение о проведении электронного аукциона: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</w:t>
      </w:r>
    </w:p>
    <w:p w:rsidR="002C3387" w:rsidRPr="002C3387" w:rsidRDefault="002C3387" w:rsidP="002C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электронной площадки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C33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«Сбербанк-АСТ». </w:t>
      </w:r>
    </w:p>
    <w:p w:rsidR="002C3387" w:rsidRPr="002C3387" w:rsidRDefault="002C3387" w:rsidP="002C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 </w:t>
      </w:r>
      <w:hyperlink r:id="rId12" w:history="1"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http://utp.sberbank-ast.ru/AP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(местонахождение): 119435, г. Москва, Большой Саввинский переулок, дом 12, стр. 9, </w:t>
      </w:r>
    </w:p>
    <w:p w:rsidR="002C3387" w:rsidRPr="002C3387" w:rsidRDefault="002C3387" w:rsidP="002C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787-29-97, +7(495) 787-29-99.  (</w:t>
      </w:r>
      <w:proofErr w:type="gram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Оператор).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аукциона: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аукцион, открытый по форме подачи предложений о цене и открытый по составу участников.</w:t>
      </w:r>
    </w:p>
    <w:p w:rsidR="002C3387" w:rsidRPr="002C3387" w:rsidRDefault="002C3387" w:rsidP="002C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Место проведения аукциона:</w:t>
      </w: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электронная площадка АО "Сбербанк - АСТ", размещенная на сайте:</w:t>
      </w:r>
      <w:hyperlink r:id="rId13" w:history="1"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 http://utp.sberbank-ast.ru </w:t>
        </w:r>
      </w:hyperlink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сети Интернет (торговая секция "Приватизация, аренда и продажа прав")</w:t>
      </w:r>
    </w:p>
    <w:p w:rsidR="002C3387" w:rsidRPr="002C3387" w:rsidRDefault="002C3387" w:rsidP="002C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 оператору электронной площадки за участие в электронном аукционе:</w:t>
      </w:r>
    </w:p>
    <w:p w:rsidR="002C3387" w:rsidRPr="002C3387" w:rsidRDefault="002C3387" w:rsidP="002C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</w:t>
      </w:r>
      <w:hyperlink r:id="rId14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статьи 39.12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заключается договор аренды земельного участка, установлен в соответствии с Регламентом Оператора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площадки.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размере взимаемой оператором электронной площадки платы за участие в аукционе с победителя аукциона или иного лица, с которым заключается договор по результатам аукциона, содержится на сайте оператора электронной площадки АО «Сбербанк - АСТ» в разделе «Тарифы» торговой секции «Приватизация, аренда и продажа прав»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Дата и время проведения аукциона: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02 октября 2023 года с 09 час. 00 мин.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Указанное в настоящем информационном сообщении время- московское. При исчислении сроков, указанных в настоящем информационном извещении, принимается время сервера электронной торговой площадки-московское.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Дата и время начала приема заявок: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 августа </w:t>
      </w: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00 час. 00 мин. по московскому времени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Дата и время окончания приема заявок: </w:t>
      </w:r>
      <w:r w:rsidRPr="002C338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27 сентября</w:t>
      </w: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23:59 мин. по московскому времени.</w:t>
      </w:r>
    </w:p>
    <w:p w:rsidR="002C3387" w:rsidRPr="002C3387" w:rsidRDefault="002C3387" w:rsidP="002C338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Адрес места приема и порядок подачи заявок на участие в аукционе: </w:t>
      </w: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сайте:</w:t>
      </w:r>
      <w:hyperlink r:id="rId18" w:history="1"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 httD://ut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.sberbank-ast.ru </w:t>
        </w:r>
      </w:hyperlink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сети Интернет (торговая секция "Приватизация, аренда и продажа прав").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Подача заявки на участие в аукционе осуществляется только посредствам интерфейса универсальной торговой платформы АО "Сбербанк - АСТ" торговой секции "Приватизация, аренда и продажа прав" из личного кабинета заявителя. Время приема заявок: в соответствии с </w:t>
      </w:r>
      <w:hyperlink r:id="rId19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универсальной торговой платформы АО "Сбербанк - АСТ"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387" w:rsidRPr="002C3387" w:rsidRDefault="002C3387" w:rsidP="002C338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Срок и порядок </w:t>
      </w:r>
      <w:r w:rsidRPr="002C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внесения задатка, реквизиты счета для перечисления задатка: </w:t>
      </w: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Задаток на участие в аукционе должен быть внесен заявителем на реквизиты Оператора электронной площадки не позднее даты и времени окончания приема заявок на участие в аукционе.</w:t>
      </w:r>
    </w:p>
    <w:p w:rsidR="002C3387" w:rsidRPr="002C3387" w:rsidRDefault="002C3387" w:rsidP="002C338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электронной площадки, и блокируется им.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Претендент осуществляет перечисление денежных средств в сумме задатка на реквизиты счета Оператора электронной площадки. </w:t>
      </w:r>
    </w:p>
    <w:p w:rsidR="002C3387" w:rsidRPr="002C3387" w:rsidRDefault="002C3387" w:rsidP="002C338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Реквизиты счета Оператора электронной площадки для перечисления задатка: 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Получатель платежа: АО " Сбербанк- АСТ"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Банковские реквизиты: ПАО "Сбербанк России" г. Москва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БИК 044525225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Расчетный счет: 40702810300020038047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Корреспондентский счет: 30101810400000000225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ИНН 7707308480 КПП 770401001</w:t>
      </w:r>
    </w:p>
    <w:p w:rsidR="002C3387" w:rsidRPr="002C3387" w:rsidRDefault="002C3387" w:rsidP="002C33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назначении платежа необходимо указать: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2C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Перечисление денежных средств в качестве задатка (ИНН плательщика), НДС не облагается”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Дата и время рассмотрения заявок на участие в аукционе: </w:t>
      </w:r>
      <w:r w:rsidRPr="002C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29</w:t>
      </w: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сентября в 14.00 час</w:t>
      </w:r>
      <w:proofErr w:type="gramStart"/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</w:t>
      </w:r>
      <w:proofErr w:type="gramEnd"/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московскому времени на электронной торговой площадке в сети Интернет </w:t>
      </w:r>
      <w:hyperlink r:id="rId21" w:history="1"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httos://ut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.sberbank-ast.ru</w:t>
        </w:r>
      </w:hyperlink>
      <w:r w:rsidRPr="002C338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 </w:t>
      </w:r>
    </w:p>
    <w:p w:rsidR="002C3387" w:rsidRPr="002C3387" w:rsidRDefault="002C3387" w:rsidP="002C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проведения аукциона: </w:t>
      </w: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Регламентирован статьями 39.11-39.13 Земельного кодекса Российской Федерации 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электронного аукциона: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ЛОТ№1.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разграничена: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268"/>
      </w:tblGrid>
      <w:tr w:rsidR="002C3387" w:rsidRPr="002C3387" w:rsidTr="000868B3">
        <w:tc>
          <w:tcPr>
            <w:tcW w:w="993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лота</w:t>
            </w:r>
          </w:p>
        </w:tc>
        <w:tc>
          <w:tcPr>
            <w:tcW w:w="6095" w:type="dxa"/>
          </w:tcPr>
          <w:p w:rsidR="002C3387" w:rsidRPr="002C3387" w:rsidRDefault="002C3387" w:rsidP="002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земельного участка: </w:t>
            </w:r>
          </w:p>
          <w:p w:rsidR="002C3387" w:rsidRPr="002C3387" w:rsidRDefault="002C3387" w:rsidP="002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номер; категория земель; площадь; адрес; разрешенное использование; обременения 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(размер ежегодной арендной платы); «шаг аукциона»; размер </w:t>
            </w:r>
            <w:proofErr w:type="gramStart"/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задатка  (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рублей); 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</w:t>
            </w:r>
          </w:p>
        </w:tc>
      </w:tr>
      <w:tr w:rsidR="002C3387" w:rsidRPr="002C3387" w:rsidTr="000868B3">
        <w:tc>
          <w:tcPr>
            <w:tcW w:w="993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3387" w:rsidRPr="002C3387" w:rsidTr="000868B3">
        <w:tc>
          <w:tcPr>
            <w:tcW w:w="993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</w:tcPr>
          <w:p w:rsidR="002C3387" w:rsidRPr="002C3387" w:rsidRDefault="002C3387" w:rsidP="002C3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x-none" w:eastAsia="x-none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26:04: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020301:274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земли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населенных пунктов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1712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кв.метров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адрес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: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Российская Федерация,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Ставропольский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край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Новоалександровский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городской округ, станица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Расшеватская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ул. Куйбышева, земельный участок 122/2,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обеспечение сельскохозяйственного производства (код 1.18);</w:t>
            </w:r>
            <w:r w:rsidRPr="002C3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x-none" w:eastAsia="x-none"/>
              </w:rPr>
              <w:t xml:space="preserve"> 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Земельный участок полностью расположен в границах зоны с реестровым номером 26:04-6.857 от 14.04.2022, ограничение использования земельного участка в пределах зоны: В границах санитарно-защитной зоны не допускается использование земельных участков в следующих целях – размещение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садоводства, согласно подпункта 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≪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≫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пункта 5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Правительством РФ от 03.03.2018 № 222 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≪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≫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; -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сооружений для подготовки и хранения питьевой воды, использования земельных участков в целях производства, хранения. В границах санитарно-защитной зоны не допускается использование земельных участков в следующих целях - размещение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садоводства, согласно подпункта 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≪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≫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пункта 5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Правительством РФ от 03.03.2018 № 222 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≪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 утверждении правил установления санитарно-защитных зон и использования земельных участков, расположенных в границах санитарно-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защитных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≫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; -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земельных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участков в целях производства, хранения и переработки сельскохозяйственной продукции,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предназначенной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для дальнейшего использования в качестве пищевой продукции, согласно подпункта 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≪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≫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пункта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5 Правил. Обоснование (при необходимости) возможности Использования земельных участков для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целей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указанных в подпунктах 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≪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≫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пункта 5 Правил, в том числе с учетом расчетов рассеивания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загрязнения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атмосферного воздуха, физического воздействия на атмосферный воздух и оценки риска для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человека (в случае, если в проекте не предусмотрено установление таких ограничений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земельных участков). </w:t>
            </w:r>
            <w:proofErr w:type="spell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переработки сельскохозяйственной продукции, предназначенной для дальнейшего использования в качестве пищевой продукции, согласно подпункта 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≪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≫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пункта 5 Правил. Обоснование (при необходимости) возможности Использования земельных участков для целей, указанных в подпунктах 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≪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2C3387">
              <w:rPr>
                <w:rFonts w:ascii="Cambria Math" w:eastAsia="TimesNewRomanPSMT" w:hAnsi="Cambria Math" w:cs="Cambria Math"/>
                <w:sz w:val="24"/>
                <w:szCs w:val="24"/>
                <w:lang w:eastAsia="ru-RU"/>
              </w:rPr>
              <w:t>≫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пункта 5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участков)., вид/наименование: Санитарно-защитная зона для </w:t>
            </w:r>
            <w:proofErr w:type="spell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ИП Главы КФХ Новичихина В.В., которая относится к IVI классу опасности, тип: Санитарно-защитная зона предприятий, сооружений и иных объектов, номер: 1, дата решения: 28.12.2021, номер </w:t>
            </w: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решения: 314/р-2021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13.02.2023; реквизиты документа-основания: решение от 28.12.2021 № 314/р-2021. вид ограничения (обременения):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ограничения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прав на земельный участок, предусмотренные статьей 56 Земельного кодекса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Российской Федерации; срок действия: c 13.02.2023; реквизиты документа-основания: водный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кодекс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от 03.06.2006 № 74 выдан: -; карта (план) объекта землеустройства от 10.12.2018 № б/н</w:t>
            </w:r>
          </w:p>
          <w:p w:rsidR="002C3387" w:rsidRPr="002C3387" w:rsidRDefault="002C3387" w:rsidP="002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: -; приказ от 15.01.2018 № 5 выдан: Министерство природных ресурсов и охраны окружающей</w:t>
            </w:r>
          </w:p>
          <w:p w:rsidR="002C3387" w:rsidRPr="002C3387" w:rsidRDefault="002C3387" w:rsidP="002C3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387">
              <w:rPr>
                <w:rFonts w:ascii="Times New Roman" w:eastAsia="TimesNewRomanPSMT" w:hAnsi="Times New Roman" w:cs="Times New Roman"/>
                <w:sz w:val="24"/>
                <w:szCs w:val="24"/>
                <w:lang w:val="x-none" w:eastAsia="x-none"/>
              </w:rPr>
              <w:t>среды Ставропольского края.</w:t>
            </w:r>
          </w:p>
          <w:p w:rsidR="002C3387" w:rsidRPr="002C3387" w:rsidRDefault="002C3387" w:rsidP="002C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268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2531,88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75,96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2531,88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6 месяцев</w:t>
            </w:r>
          </w:p>
        </w:tc>
      </w:tr>
    </w:tbl>
    <w:p w:rsidR="002C3387" w:rsidRPr="002C3387" w:rsidRDefault="002C3387" w:rsidP="002C33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1.1.Земельный участок с кадастровым номером 26:04:020301:274, земли населенных пунктов, 1712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Ставропольский край,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станица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Расшеватская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Куйбышева, земельный участок 122/2, предоставляется в аренду с разрешенным использованием: обеспечение сельскохозяйственного производства (код 1.18). Земельный участок входит в состав зоны СХ-2. Зона объектов сельскохозяйственного использования, для которой </w:t>
      </w:r>
      <w:r w:rsidRPr="002C3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утвержденными постановлением администрации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18.08.2021 №1122 «Об утверждении правил землепользования и застройки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 определены следующие виды разрешенного использования и установлены параметры использования земельных участков и объектов капитального строительства</w:t>
      </w:r>
    </w:p>
    <w:p w:rsidR="002C3387" w:rsidRPr="002C3387" w:rsidRDefault="002C3387" w:rsidP="002C3387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C3387">
        <w:rPr>
          <w:rFonts w:ascii="Times New Roman" w:eastAsia="Cambria" w:hAnsi="Times New Roman" w:cs="Times New Roman"/>
          <w:b/>
          <w:sz w:val="28"/>
          <w:szCs w:val="28"/>
        </w:rPr>
        <w:t>Основные виды разрешённого использования земельных участков зоны СХ-2</w:t>
      </w:r>
    </w:p>
    <w:p w:rsidR="002C3387" w:rsidRPr="002C3387" w:rsidRDefault="002C3387" w:rsidP="002C3387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4957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744"/>
        <w:gridCol w:w="5472"/>
      </w:tblGrid>
      <w:tr w:rsidR="002C3387" w:rsidRPr="002C3387" w:rsidTr="000868B3">
        <w:trPr>
          <w:trHeight w:val="327"/>
        </w:trPr>
        <w:tc>
          <w:tcPr>
            <w:tcW w:w="56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48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 xml:space="preserve">наименование вида разрешённого 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использования</w:t>
            </w:r>
          </w:p>
        </w:tc>
        <w:tc>
          <w:tcPr>
            <w:tcW w:w="295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2C3387" w:rsidRPr="002C3387" w:rsidTr="000868B3">
        <w:trPr>
          <w:trHeight w:val="971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</w:t>
            </w: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я с </w:t>
            </w:r>
            <w:hyperlink r:id="rId22" w:anchor="sub_1012" w:history="1">
              <w:r w:rsidRPr="002C3387">
                <w:rPr>
                  <w:rFonts w:ascii="Times New Roman" w:eastAsia="Helvetica Neue Light" w:hAnsi="Times New Roman" w:cs="Times New Roman"/>
                  <w:sz w:val="24"/>
                  <w:szCs w:val="24"/>
                  <w:bdr w:val="nil"/>
                  <w:lang w:eastAsia="ru-RU"/>
                </w:rPr>
                <w:t>кодами 1.2-1.6</w:t>
              </w:r>
            </w:hyperlink>
          </w:p>
        </w:tc>
      </w:tr>
      <w:tr w:rsidR="002C3387" w:rsidRPr="002C3387" w:rsidTr="000868B3">
        <w:trPr>
          <w:trHeight w:val="2038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>1.7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sub_1018" w:history="1">
              <w:r w:rsidRPr="002C33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1.8-1.11</w:t>
              </w:r>
            </w:hyperlink>
          </w:p>
        </w:tc>
      </w:tr>
      <w:tr w:rsidR="002C3387" w:rsidRPr="002C3387" w:rsidTr="000868B3">
        <w:trPr>
          <w:trHeight w:val="1933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1.8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2C3387" w:rsidRPr="002C3387" w:rsidTr="000868B3">
        <w:trPr>
          <w:trHeight w:val="1471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1.9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</w:tr>
      <w:tr w:rsidR="002C3387" w:rsidRPr="002C3387" w:rsidTr="000868B3">
        <w:trPr>
          <w:trHeight w:val="1947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1.10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</w:tr>
      <w:tr w:rsidR="002C3387" w:rsidRPr="002C3387" w:rsidTr="000868B3">
        <w:trPr>
          <w:trHeight w:val="1214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1.11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</w:tr>
      <w:tr w:rsidR="002C3387" w:rsidRPr="002C3387" w:rsidTr="000868B3">
        <w:trPr>
          <w:trHeight w:val="1896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>1.12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ульев, иных объектов и оборудования, необходимого для пчеловодства и разведениях иных полезных насекомых;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используемых для хранения и первичной переработки продукции пчеловодства</w:t>
            </w:r>
          </w:p>
        </w:tc>
      </w:tr>
      <w:tr w:rsidR="002C3387" w:rsidRPr="002C3387" w:rsidTr="000868B3">
        <w:trPr>
          <w:trHeight w:val="1097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1.13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586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1.15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  <w:proofErr w:type="gramEnd"/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proofErr w:type="gramEnd"/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318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1.17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сооружений, необходимых для указанных видов сельскохозяйственного производства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116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1.18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proofErr w:type="gramEnd"/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351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1.19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Сенокошение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Кошение трав, сбор и заготовка сена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41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1.20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Выпас сельскохозяйственных животных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417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3.1.1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Предоставление коммунальных услуг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85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12.0.1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Улично-дорожная сеть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велотранспортной</w:t>
            </w:r>
            <w:proofErr w:type="spellEnd"/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и инженерной инфраструктуры;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2C3387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кодами 2.7.1</w:t>
              </w:r>
            </w:hyperlink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382" w:tooltip="4.9" w:history="1">
              <w:r w:rsidRPr="002C3387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4.9</w:t>
              </w:r>
            </w:hyperlink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567" w:tooltip="7.2.3" w:history="1">
              <w:r w:rsidRPr="002C3387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7.2.3</w:t>
              </w:r>
            </w:hyperlink>
            <w:r w:rsidRPr="002C338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2C3387" w:rsidRPr="002C3387" w:rsidRDefault="002C3387" w:rsidP="002C3387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3387" w:rsidRPr="002C3387" w:rsidRDefault="002C3387" w:rsidP="002C338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3387" w:rsidRPr="002C3387" w:rsidRDefault="002C3387" w:rsidP="002C3387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3387">
        <w:rPr>
          <w:rFonts w:ascii="Times New Roman" w:eastAsia="Cambria" w:hAnsi="Times New Roman" w:cs="Times New Roman"/>
          <w:b/>
          <w:sz w:val="24"/>
          <w:szCs w:val="24"/>
        </w:rPr>
        <w:t>Условно-разрешённые виды разрешённого использования земельных участков зоны СХ-2</w:t>
      </w:r>
    </w:p>
    <w:p w:rsidR="002C3387" w:rsidRPr="002C3387" w:rsidRDefault="002C3387" w:rsidP="002C3387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4957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872"/>
        <w:gridCol w:w="5487"/>
      </w:tblGrid>
      <w:tr w:rsidR="002C3387" w:rsidRPr="002C3387" w:rsidTr="000868B3">
        <w:trPr>
          <w:trHeight w:val="327"/>
        </w:trPr>
        <w:tc>
          <w:tcPr>
            <w:tcW w:w="49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549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296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contextualSpacing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1.14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contextualSpacing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3.10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sub_103101" w:history="1">
              <w:r w:rsidRPr="002C33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6.9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Склады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2C3387" w:rsidRPr="002C3387" w:rsidRDefault="002C3387" w:rsidP="002C3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</w:pPr>
    </w:p>
    <w:p w:rsidR="002C3387" w:rsidRPr="002C3387" w:rsidRDefault="002C3387" w:rsidP="002C3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  <w:r w:rsidRPr="002C3387"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  <w:t>Вспомогательные виды разрешенного использования земельных участков зоны СХ-2</w:t>
      </w:r>
    </w:p>
    <w:p w:rsidR="002C3387" w:rsidRPr="002C3387" w:rsidRDefault="002C3387" w:rsidP="002C3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2"/>
        <w:gridCol w:w="3282"/>
        <w:gridCol w:w="5061"/>
      </w:tblGrid>
      <w:tr w:rsidR="002C3387" w:rsidRPr="002C3387" w:rsidTr="000868B3"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 xml:space="preserve">код 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класс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ифика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тора</w:t>
            </w:r>
          </w:p>
        </w:tc>
        <w:tc>
          <w:tcPr>
            <w:tcW w:w="4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8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2C3387" w:rsidRPr="002C3387" w:rsidTr="000868B3">
        <w:tc>
          <w:tcPr>
            <w:tcW w:w="14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3387" w:rsidRPr="002C3387" w:rsidRDefault="002C3387" w:rsidP="002C3387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требуют установления.</w:t>
            </w:r>
          </w:p>
        </w:tc>
      </w:tr>
    </w:tbl>
    <w:p w:rsidR="002C3387" w:rsidRPr="002C3387" w:rsidRDefault="002C3387" w:rsidP="002C3387">
      <w:pPr>
        <w:spacing w:after="0" w:line="240" w:lineRule="auto"/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</w:pPr>
    </w:p>
    <w:tbl>
      <w:tblPr>
        <w:tblW w:w="4936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2844"/>
        <w:gridCol w:w="2756"/>
      </w:tblGrid>
      <w:tr w:rsidR="002C3387" w:rsidRPr="002C3387" w:rsidTr="000868B3">
        <w:trPr>
          <w:trHeight w:val="327"/>
        </w:trPr>
        <w:tc>
          <w:tcPr>
            <w:tcW w:w="3507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2C3387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149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Примечания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подлежат установлению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1 м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Предельное количество надземных этажей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3 этажа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Предельная высота зданий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более 10 м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947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подлежит установлению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</w:tbl>
    <w:p w:rsidR="002C3387" w:rsidRPr="002C3387" w:rsidRDefault="002C3387" w:rsidP="002C33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1.2.Технические условия подключения объекта капитального строительства к сетям инженерно-технического обеспечения, срок действия технических условий, информация о плате за подключение для земельного участка с КН 26:04:020301:274:</w:t>
      </w:r>
    </w:p>
    <w:p w:rsidR="002C3387" w:rsidRPr="002C3387" w:rsidRDefault="002C3387" w:rsidP="002C33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Электроснабжение:</w:t>
      </w:r>
    </w:p>
    <w:p w:rsidR="002C3387" w:rsidRPr="002C3387" w:rsidRDefault="002C3387" w:rsidP="002C3387">
      <w:pPr>
        <w:tabs>
          <w:tab w:val="left" w:pos="567"/>
          <w:tab w:val="left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подключения выданы филиалом ПАО «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</w:t>
      </w:r>
      <w:proofErr w:type="gram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Кавказ»-</w:t>
      </w:r>
      <w:proofErr w:type="gram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Ставропольэнерго» - Новотроицкие электрические сети №МР8/СЭФ/.нэс.01/133 от 10.03.2023. Конкретные условия технологического присоединения объектов к сетям электроснабжения определяются подаче соответствующей заявки в вышеуказанную организацию. Плата за подключение к сетям электроснабжения определяется исходя из конкретных условий технологического присоединения.</w:t>
      </w:r>
    </w:p>
    <w:p w:rsidR="002C3387" w:rsidRPr="002C3387" w:rsidRDefault="002C3387" w:rsidP="002C338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филиала ПАО «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Россети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Северный </w:t>
      </w:r>
      <w:proofErr w:type="gramStart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Кавказ»-</w:t>
      </w:r>
      <w:proofErr w:type="gramEnd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«Ставропольэнерго» - Новотроицкие электрические сети по техническим условиям, размещен на официальном Интернет-портале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</w:t>
      </w:r>
      <w:r w:rsidRPr="002C3387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(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www.newalexandrovsk.ru</w:t>
      </w:r>
      <w:r w:rsidRPr="002C3387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)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официальном сайте Российской Федерации </w:t>
      </w:r>
      <w:hyperlink r:id="rId25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www.torgi.gov.ru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приложения к извещению.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1.3.Информация о фактическом состоянии земельного участка: доступ к земельному участку возможен по существующей дороге, расположенной на землях кадастрового квартала 26:04:020301</w:t>
      </w:r>
    </w:p>
    <w:p w:rsidR="002C3387" w:rsidRPr="002C3387" w:rsidRDefault="002C3387" w:rsidP="002C338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Осмотр земельного участка на местности производится заинтересованными лицами самостоятельно.   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ЛОТ№2 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разграничена: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268"/>
      </w:tblGrid>
      <w:tr w:rsidR="002C3387" w:rsidRPr="002C3387" w:rsidTr="000868B3">
        <w:tc>
          <w:tcPr>
            <w:tcW w:w="993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095" w:type="dxa"/>
          </w:tcPr>
          <w:p w:rsidR="002C3387" w:rsidRPr="002C3387" w:rsidRDefault="002C3387" w:rsidP="002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земельного участка: </w:t>
            </w:r>
          </w:p>
          <w:p w:rsidR="002C3387" w:rsidRPr="002C3387" w:rsidRDefault="002C3387" w:rsidP="002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номер; категория земель; площадь; адрес; разрешенное использование; обременения 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(размер ежегодной арендной платы); «шаг аукциона»; размер </w:t>
            </w: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  (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рублей); 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2C3387" w:rsidRPr="002C3387" w:rsidTr="000868B3">
        <w:tc>
          <w:tcPr>
            <w:tcW w:w="993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387" w:rsidRPr="002C3387" w:rsidTr="000868B3">
        <w:tc>
          <w:tcPr>
            <w:tcW w:w="993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C3387" w:rsidRPr="002C3387" w:rsidRDefault="002C3387" w:rsidP="002C3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26:04: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020412:412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земли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населенных пунктов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330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кв.метров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Ставропольский край,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р-н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Новоалександровский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ст-ца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Расшеватская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ул.Ленина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б/н;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магазины.</w:t>
            </w:r>
          </w:p>
          <w:p w:rsidR="002C3387" w:rsidRPr="002C3387" w:rsidRDefault="002C3387" w:rsidP="002C3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Земельный участок полностью </w:t>
            </w: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расположен  в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границах зоны с реестровым номером 26:04:-6.359 от 15.12.2018г.. Вид/наименование: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Водоохранная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зона реки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Расшеватка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тип: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Водоохранная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зона, номер: -, решения:1. Дата </w:t>
            </w:r>
            <w:proofErr w:type="gram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решения:03.06.2006</w:t>
            </w:r>
            <w:proofErr w:type="gram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номер решения:74, наименование ОГВ/ОМСУ:-2. дата решения:10.12.2018, номер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решения:б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/н, наименование ОГВ/ОМСУ:-3. дата решения:15.01.2018, номер решения:5, наименование ОГВ/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ОМСУ:Министерство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природных ресурсов и охраны окружающей среды Ставропольского края. </w:t>
            </w:r>
          </w:p>
          <w:p w:rsidR="002C3387" w:rsidRPr="002C3387" w:rsidRDefault="002C3387" w:rsidP="002C3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ограничения(обременения) ограничения прав на земельный участок, предусмотренные статьями 56,56.1 Земельного кодекса Российской Федерации; срок действия: с 05.02.2021; реквизиты документа-основания: водный кодекс от 03.06.2006№74 выдан:-карта (план) объекта землеустройства от 10.12.2018 №б/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нвыдан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:-;приказ от 15.01.2018 №5 выдан: Министерство природных ресурсов и охраны окружающей среды Ставропольского края. вид 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05.02.2021; реквизиты документа-основания: </w:t>
            </w:r>
            <w:proofErr w:type="spellStart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xML</w:t>
            </w:r>
            <w:proofErr w:type="spellEnd"/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-архив от 06.12.2020 №б/н; иной документ от 04.12.2020 №01/041220; доверенность от 04.03.2020 </w:t>
            </w: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№26АА4084420; постановление от 24.02.2009 №160;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08.12.2020 №б/н.   </w:t>
            </w:r>
          </w:p>
          <w:p w:rsidR="002C3387" w:rsidRPr="002C3387" w:rsidRDefault="002C3387" w:rsidP="002C3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Обременения правами третьих лиц: нет.</w:t>
            </w:r>
          </w:p>
          <w:p w:rsidR="002C3387" w:rsidRPr="002C3387" w:rsidRDefault="002C3387" w:rsidP="002C3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x-none"/>
              </w:rPr>
            </w:pPr>
          </w:p>
        </w:tc>
        <w:tc>
          <w:tcPr>
            <w:tcW w:w="2268" w:type="dxa"/>
          </w:tcPr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6007,39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180,22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6007,39</w:t>
            </w:r>
          </w:p>
          <w:p w:rsidR="002C3387" w:rsidRPr="002C3387" w:rsidRDefault="002C3387" w:rsidP="002C338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месяцев</w:t>
            </w:r>
          </w:p>
        </w:tc>
      </w:tr>
    </w:tbl>
    <w:p w:rsidR="002C3387" w:rsidRPr="002C3387" w:rsidRDefault="002C3387" w:rsidP="002C33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1.1.Земельный участок с кадастровым номером 26:04:020412:412, земли населенных пунктов, 330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р-н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Расшеватская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б/н; предоставляется в аренду с разрешенным использованием: магазины (4.4). Земельный участок входит в состав зоны ОД-1 Зона делового назначения, для которой </w:t>
      </w:r>
      <w:r w:rsidRPr="002C3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утвержденными постановлением администрации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18.08.2021 №1122 «Об утверждении правил землепользования и застройки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 определены следующие виды разрешенного использования и установлены параметры использования земельных участков и объектов капитального строительства:</w:t>
      </w:r>
    </w:p>
    <w:p w:rsidR="002C3387" w:rsidRPr="002C3387" w:rsidRDefault="002C3387" w:rsidP="002C3387">
      <w:pPr>
        <w:widowControl w:val="0"/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C3387">
        <w:rPr>
          <w:rFonts w:ascii="Times New Roman" w:eastAsia="Cambria" w:hAnsi="Times New Roman" w:cs="Times New Roman"/>
          <w:b/>
          <w:sz w:val="28"/>
          <w:szCs w:val="28"/>
        </w:rPr>
        <w:t>Основные виды разрешённого использования земельных участков зоны ОД-1</w:t>
      </w:r>
    </w:p>
    <w:p w:rsidR="002C3387" w:rsidRPr="002C3387" w:rsidRDefault="002C3387" w:rsidP="002C3387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tbl>
      <w:tblPr>
        <w:tblW w:w="4976" w:type="pct"/>
        <w:tblInd w:w="-12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3016"/>
        <w:gridCol w:w="4953"/>
      </w:tblGrid>
      <w:tr w:rsidR="002C3387" w:rsidRPr="002C3387" w:rsidTr="000868B3">
        <w:trPr>
          <w:trHeight w:val="327"/>
        </w:trPr>
        <w:tc>
          <w:tcPr>
            <w:tcW w:w="71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62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  <w:t xml:space="preserve">наименование вида разрешённого 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  <w:t>использования</w:t>
            </w:r>
          </w:p>
        </w:tc>
        <w:tc>
          <w:tcPr>
            <w:tcW w:w="26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1461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3.1.1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Предоставление коммунальных услуг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956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3.1.2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2C3387" w:rsidRPr="002C3387" w:rsidTr="000868B3">
        <w:tblPrEx>
          <w:shd w:val="clear" w:color="auto" w:fill="auto"/>
        </w:tblPrEx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3.2.2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Оказание социальной помощи населению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некоммерческих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фондов, благотворительных организаций, клубов по интересам</w:t>
            </w:r>
          </w:p>
        </w:tc>
      </w:tr>
      <w:tr w:rsidR="002C3387" w:rsidRPr="002C3387" w:rsidTr="000868B3">
        <w:tblPrEx>
          <w:shd w:val="clear" w:color="auto" w:fill="auto"/>
        </w:tblPrEx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3.2.3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Оказание услуг связи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</w:rPr>
              <w:t xml:space="preserve">Размещение зданий, предназначенных для размещения пунктов оказания услуг почтовой, телеграфной, 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</w:rPr>
              <w:lastRenderedPageBreak/>
              <w:t>междугородней и международной телефонной связи</w:t>
            </w:r>
          </w:p>
        </w:tc>
      </w:tr>
      <w:tr w:rsidR="002C3387" w:rsidRPr="002C3387" w:rsidTr="000868B3">
        <w:tblPrEx>
          <w:shd w:val="clear" w:color="auto" w:fill="auto"/>
        </w:tblPrEx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3.3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Бытовое обслуживание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3.6.1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3.6.3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Цирки и зверинцы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2C3387" w:rsidRPr="002C3387" w:rsidTr="000868B3">
        <w:tblPrEx>
          <w:shd w:val="clear" w:color="auto" w:fill="auto"/>
        </w:tblPrEx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3.8.1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Государственное управление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870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3.8.2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Представительская деятельность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428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3.10.1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2C3387" w:rsidRPr="002C3387" w:rsidTr="000868B3">
        <w:tblPrEx>
          <w:shd w:val="clear" w:color="auto" w:fill="auto"/>
        </w:tblPrEx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4.1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Деловое управление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C3387" w:rsidRPr="002C3387" w:rsidTr="000868B3">
        <w:tblPrEx>
          <w:shd w:val="clear" w:color="auto" w:fill="auto"/>
        </w:tblPrEx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4.2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2C3387">
                <w:rPr>
                  <w:rFonts w:ascii="Times New Roman" w:eastAsia="Helvetica Neue Light" w:hAnsi="Times New Roman" w:cs="Arial"/>
                  <w:sz w:val="20"/>
                  <w:szCs w:val="20"/>
                  <w:bdr w:val="nil"/>
                  <w:lang w:eastAsia="ru-RU"/>
                </w:rPr>
                <w:t>кодами 4.5-4.8.2</w:t>
              </w:r>
            </w:hyperlink>
            <w:r w:rsidRPr="002C3387">
              <w:rPr>
                <w:rFonts w:ascii="Arial" w:eastAsia="Arial Unicode MS" w:hAnsi="Arial" w:cs="Arial"/>
                <w:sz w:val="20"/>
                <w:szCs w:val="20"/>
                <w:bdr w:val="nil"/>
                <w:lang w:eastAsia="ru-RU"/>
              </w:rPr>
              <w:t xml:space="preserve"> </w:t>
            </w: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классификатора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гаражей и (или) стоянок для автомобилей сотрудников и посетителей торгового центра</w:t>
            </w:r>
          </w:p>
        </w:tc>
      </w:tr>
      <w:tr w:rsidR="002C3387" w:rsidRPr="002C3387" w:rsidTr="000868B3">
        <w:tblPrEx>
          <w:shd w:val="clear" w:color="auto" w:fill="auto"/>
        </w:tblPrEx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4.3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Рынки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гаражей и (или) стоянок для автомобилей сотрудников и посетителей рынка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542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4.4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Магазины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536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4.5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Банковская и страховая деятельность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530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4.6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Общественное питание</w:t>
            </w:r>
          </w:p>
        </w:tc>
        <w:tc>
          <w:tcPr>
            <w:tcW w:w="26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708"/>
        </w:trPr>
        <w:tc>
          <w:tcPr>
            <w:tcW w:w="717" w:type="pct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4.7</w:t>
            </w:r>
          </w:p>
        </w:tc>
        <w:tc>
          <w:tcPr>
            <w:tcW w:w="1621" w:type="pct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Гостиничное обслуживание</w:t>
            </w:r>
          </w:p>
        </w:tc>
        <w:tc>
          <w:tcPr>
            <w:tcW w:w="2661" w:type="pct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от предоставления жилого помещения для временного проживания в них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1461"/>
        </w:trPr>
        <w:tc>
          <w:tcPr>
            <w:tcW w:w="717" w:type="pct"/>
            <w:tcBorders>
              <w:top w:val="single" w:sz="6" w:space="0" w:color="808080"/>
              <w:bottom w:val="single" w:sz="4" w:space="0" w:color="auto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4.8.1</w:t>
            </w:r>
          </w:p>
        </w:tc>
        <w:tc>
          <w:tcPr>
            <w:tcW w:w="1621" w:type="pct"/>
            <w:tcBorders>
              <w:top w:val="single" w:sz="6" w:space="0" w:color="808080"/>
              <w:bottom w:val="single" w:sz="4" w:space="0" w:color="auto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Развлекательные мероприятия</w:t>
            </w:r>
          </w:p>
        </w:tc>
        <w:tc>
          <w:tcPr>
            <w:tcW w:w="2661" w:type="pct"/>
            <w:tcBorders>
              <w:top w:val="single" w:sz="6" w:space="0" w:color="808080"/>
              <w:bottom w:val="single" w:sz="4" w:space="0" w:color="auto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700"/>
        </w:trPr>
        <w:tc>
          <w:tcPr>
            <w:tcW w:w="717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4.8.2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Проведение азартных игр</w:t>
            </w:r>
          </w:p>
        </w:tc>
        <w:tc>
          <w:tcPr>
            <w:tcW w:w="266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700"/>
        </w:trPr>
        <w:tc>
          <w:tcPr>
            <w:tcW w:w="717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4.8.3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266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700"/>
        </w:trPr>
        <w:tc>
          <w:tcPr>
            <w:tcW w:w="717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4.9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Служебные гаражи</w:t>
            </w:r>
          </w:p>
        </w:tc>
        <w:tc>
          <w:tcPr>
            <w:tcW w:w="266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2C3387">
                <w:rPr>
                  <w:rFonts w:ascii="Times New Roman" w:eastAsia="Helvetica Neue Light" w:hAnsi="Times New Roman" w:cs="Times New Roman"/>
                  <w:sz w:val="20"/>
                  <w:szCs w:val="20"/>
                  <w:bdr w:val="nil"/>
                  <w:lang w:eastAsia="ru-RU"/>
                </w:rPr>
                <w:t>кодами 3.0</w:t>
              </w:r>
            </w:hyperlink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, </w:t>
            </w:r>
            <w:hyperlink w:anchor="Par333" w:tooltip="4.0" w:history="1">
              <w:r w:rsidRPr="002C3387">
                <w:rPr>
                  <w:rFonts w:ascii="Times New Roman" w:eastAsia="Helvetica Neue Light" w:hAnsi="Times New Roman" w:cs="Times New Roman"/>
                  <w:sz w:val="20"/>
                  <w:szCs w:val="20"/>
                  <w:bdr w:val="nil"/>
                  <w:lang w:eastAsia="ru-RU"/>
                </w:rPr>
                <w:t>4.0</w:t>
              </w:r>
            </w:hyperlink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69"/>
        </w:trPr>
        <w:tc>
          <w:tcPr>
            <w:tcW w:w="717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5.1.1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266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557"/>
        </w:trPr>
        <w:tc>
          <w:tcPr>
            <w:tcW w:w="717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5.1.2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66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11"/>
        </w:trPr>
        <w:tc>
          <w:tcPr>
            <w:tcW w:w="717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8.3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Обеспечение внутреннего правопорядка</w:t>
            </w:r>
          </w:p>
        </w:tc>
        <w:tc>
          <w:tcPr>
            <w:tcW w:w="266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Росгвардии</w:t>
            </w:r>
            <w:proofErr w:type="spellEnd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11"/>
        </w:trPr>
        <w:tc>
          <w:tcPr>
            <w:tcW w:w="717" w:type="pct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12.0.1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Улично-дорожная сеть</w:t>
            </w:r>
          </w:p>
        </w:tc>
        <w:tc>
          <w:tcPr>
            <w:tcW w:w="26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велотранспортной</w:t>
            </w:r>
            <w:proofErr w:type="spellEnd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 и инженерной инфраструктуры;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2C3387">
                <w:rPr>
                  <w:rFonts w:ascii="Times New Roman" w:eastAsia="Arial Unicode MS" w:hAnsi="Times New Roman" w:cs="Times New Roman"/>
                  <w:sz w:val="20"/>
                  <w:szCs w:val="20"/>
                  <w:bdr w:val="nil"/>
                  <w:lang w:eastAsia="ru-RU"/>
                </w:rPr>
                <w:t>кодами 2.7.1</w:t>
              </w:r>
            </w:hyperlink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, </w:t>
            </w:r>
            <w:hyperlink w:anchor="Par382" w:tooltip="4.9" w:history="1">
              <w:r w:rsidRPr="002C3387">
                <w:rPr>
                  <w:rFonts w:ascii="Times New Roman" w:eastAsia="Arial Unicode MS" w:hAnsi="Times New Roman" w:cs="Times New Roman"/>
                  <w:sz w:val="20"/>
                  <w:szCs w:val="20"/>
                  <w:bdr w:val="nil"/>
                  <w:lang w:eastAsia="ru-RU"/>
                </w:rPr>
                <w:t>4.9</w:t>
              </w:r>
            </w:hyperlink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, </w:t>
            </w:r>
            <w:hyperlink w:anchor="Par567" w:tooltip="7.2.3" w:history="1">
              <w:r w:rsidRPr="002C3387">
                <w:rPr>
                  <w:rFonts w:ascii="Times New Roman" w:eastAsia="Arial Unicode MS" w:hAnsi="Times New Roman" w:cs="Times New Roman"/>
                  <w:sz w:val="20"/>
                  <w:szCs w:val="20"/>
                  <w:bdr w:val="nil"/>
                  <w:lang w:eastAsia="ru-RU"/>
                </w:rPr>
                <w:t>7.2.3</w:t>
              </w:r>
            </w:hyperlink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11"/>
        </w:trPr>
        <w:tc>
          <w:tcPr>
            <w:tcW w:w="717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12.0.2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Благоустройство территории</w:t>
            </w:r>
          </w:p>
        </w:tc>
        <w:tc>
          <w:tcPr>
            <w:tcW w:w="266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C3387" w:rsidRPr="002C3387" w:rsidRDefault="002C3387" w:rsidP="002C3387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p w:rsidR="002C3387" w:rsidRPr="002C3387" w:rsidRDefault="002C3387" w:rsidP="002C3387">
      <w:pPr>
        <w:widowControl w:val="0"/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2C3387">
        <w:rPr>
          <w:rFonts w:ascii="Times New Roman" w:eastAsia="Cambria" w:hAnsi="Times New Roman" w:cs="Times New Roman"/>
          <w:b/>
          <w:sz w:val="20"/>
          <w:szCs w:val="20"/>
        </w:rPr>
        <w:t>Условно-разрешённые виды разрешённого использования земельных участков зоны ОД-1</w:t>
      </w:r>
    </w:p>
    <w:p w:rsidR="002C3387" w:rsidRPr="002C3387" w:rsidRDefault="002C3387" w:rsidP="002C3387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tbl>
      <w:tblPr>
        <w:tblW w:w="4976" w:type="pct"/>
        <w:tblInd w:w="-12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169"/>
        <w:gridCol w:w="4801"/>
      </w:tblGrid>
      <w:tr w:rsidR="002C3387" w:rsidRPr="002C3387" w:rsidTr="000868B3">
        <w:trPr>
          <w:trHeight w:val="327"/>
        </w:trPr>
        <w:tc>
          <w:tcPr>
            <w:tcW w:w="71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70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  <w:t xml:space="preserve">наименование вида разрешённого 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  <w:t>использования</w:t>
            </w:r>
          </w:p>
        </w:tc>
        <w:tc>
          <w:tcPr>
            <w:tcW w:w="258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mallCaps/>
                <w:sz w:val="20"/>
                <w:szCs w:val="20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>2.5</w:t>
            </w:r>
          </w:p>
        </w:tc>
        <w:tc>
          <w:tcPr>
            <w:tcW w:w="17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proofErr w:type="spellStart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>Среднеэтажная</w:t>
            </w:r>
            <w:proofErr w:type="spellEnd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 xml:space="preserve"> жилая застройка</w:t>
            </w:r>
          </w:p>
        </w:tc>
        <w:tc>
          <w:tcPr>
            <w:tcW w:w="25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>Размещение многоквартирных домов этажностью не выше восьми этажей;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proofErr w:type="gramStart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>благоустройство</w:t>
            </w:r>
            <w:proofErr w:type="gramEnd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 xml:space="preserve"> и озеленение;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proofErr w:type="gramStart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>размещение</w:t>
            </w:r>
            <w:proofErr w:type="gramEnd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 xml:space="preserve"> подземных гаражей и автостоянок;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proofErr w:type="gramStart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>обустройство</w:t>
            </w:r>
            <w:proofErr w:type="gramEnd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 xml:space="preserve"> спортивных и детских площадок, площадок для отдыха;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</w:pPr>
            <w:proofErr w:type="gramStart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>размещение</w:t>
            </w:r>
            <w:proofErr w:type="gramEnd"/>
            <w:r w:rsidRPr="002C3387">
              <w:rPr>
                <w:rFonts w:ascii="Times New Roman" w:eastAsia="Cambria" w:hAnsi="Times New Roman" w:cs="Times New Roman"/>
                <w:sz w:val="20"/>
                <w:szCs w:val="20"/>
                <w:bdr w:val="nil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2.7.1</w:t>
            </w:r>
          </w:p>
        </w:tc>
        <w:tc>
          <w:tcPr>
            <w:tcW w:w="17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Хранение автотранспорта</w:t>
            </w:r>
          </w:p>
        </w:tc>
        <w:tc>
          <w:tcPr>
            <w:tcW w:w="25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3.10.2</w:t>
            </w:r>
          </w:p>
        </w:tc>
        <w:tc>
          <w:tcPr>
            <w:tcW w:w="17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Приюты для животных</w:t>
            </w:r>
          </w:p>
        </w:tc>
        <w:tc>
          <w:tcPr>
            <w:tcW w:w="25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</w:t>
            </w:r>
            <w:proofErr w:type="gramEnd"/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 xml:space="preserve"> объектов капитального строительства, предназначенных для организации гостиниц для животных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3.7.1</w:t>
            </w:r>
          </w:p>
        </w:tc>
        <w:tc>
          <w:tcPr>
            <w:tcW w:w="17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Осуществление религиозных обрядов</w:t>
            </w:r>
          </w:p>
        </w:tc>
        <w:tc>
          <w:tcPr>
            <w:tcW w:w="25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5.1.4</w:t>
            </w:r>
          </w:p>
        </w:tc>
        <w:tc>
          <w:tcPr>
            <w:tcW w:w="17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25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5.2.1</w:t>
            </w:r>
          </w:p>
        </w:tc>
        <w:tc>
          <w:tcPr>
            <w:tcW w:w="17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Туристическое обслуживание</w:t>
            </w:r>
          </w:p>
        </w:tc>
        <w:tc>
          <w:tcPr>
            <w:tcW w:w="25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7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9.3</w:t>
            </w:r>
          </w:p>
        </w:tc>
        <w:tc>
          <w:tcPr>
            <w:tcW w:w="17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Историко-культурная деятельность</w:t>
            </w:r>
          </w:p>
        </w:tc>
        <w:tc>
          <w:tcPr>
            <w:tcW w:w="25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мест бытования исторических промыслов, производств и ремёсел,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</w:tbl>
    <w:p w:rsidR="002C3387" w:rsidRPr="002C3387" w:rsidRDefault="002C3387" w:rsidP="002C3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Helvetica Neue Light"/>
          <w:b/>
          <w:color w:val="000000"/>
          <w:sz w:val="20"/>
          <w:szCs w:val="20"/>
          <w:bdr w:val="nil"/>
          <w:lang w:eastAsia="ru-RU"/>
        </w:rPr>
      </w:pPr>
    </w:p>
    <w:p w:rsidR="002C3387" w:rsidRPr="002C3387" w:rsidRDefault="002C3387" w:rsidP="002C3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Helvetica Neue Light" w:hAnsi="Cambria" w:cs="Helvetica Neue Light"/>
          <w:sz w:val="20"/>
          <w:szCs w:val="20"/>
          <w:bdr w:val="nil"/>
          <w:lang w:eastAsia="ru-RU"/>
        </w:rPr>
      </w:pPr>
      <w:r w:rsidRPr="002C3387">
        <w:rPr>
          <w:rFonts w:ascii="Times New Roman" w:eastAsia="Helvetica Neue Light" w:hAnsi="Times New Roman" w:cs="Helvetica Neue Light"/>
          <w:b/>
          <w:color w:val="000000"/>
          <w:sz w:val="20"/>
          <w:szCs w:val="20"/>
          <w:bdr w:val="nil"/>
          <w:lang w:eastAsia="ru-RU"/>
        </w:rPr>
        <w:lastRenderedPageBreak/>
        <w:t>Вспомогательные виды разрешенного использования земельных участков зоны ОД-1</w:t>
      </w:r>
    </w:p>
    <w:p w:rsidR="002C3387" w:rsidRPr="002C3387" w:rsidRDefault="002C3387" w:rsidP="002C3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Helvetica Neue Light" w:hAnsi="Cambria" w:cs="Helvetica Neue Light"/>
          <w:sz w:val="20"/>
          <w:szCs w:val="20"/>
          <w:bdr w:val="nil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1"/>
        <w:gridCol w:w="3236"/>
        <w:gridCol w:w="5168"/>
      </w:tblGrid>
      <w:tr w:rsidR="002C3387" w:rsidRPr="002C3387" w:rsidTr="000868B3">
        <w:tc>
          <w:tcPr>
            <w:tcW w:w="1066" w:type="dxa"/>
            <w:shd w:val="clear" w:color="auto" w:fill="D9D9D9"/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 xml:space="preserve">код 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класс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ифика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Helvetica Neue" w:hAnsi="Calibri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тора</w:t>
            </w:r>
          </w:p>
        </w:tc>
        <w:tc>
          <w:tcPr>
            <w:tcW w:w="4884" w:type="dxa"/>
            <w:shd w:val="clear" w:color="auto" w:fill="D9D9D9"/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Helvetica Neue" w:hAnsi="Calibri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8900" w:type="dxa"/>
            <w:shd w:val="clear" w:color="auto" w:fill="D9D9D9"/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Helvetica Neue" w:hAnsi="Calibri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2C3387">
              <w:rPr>
                <w:rFonts w:ascii="Calibri" w:eastAsia="Helvetica Neue" w:hAnsi="Calibri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2C3387" w:rsidRPr="002C3387" w:rsidTr="000868B3">
        <w:tc>
          <w:tcPr>
            <w:tcW w:w="14850" w:type="dxa"/>
            <w:gridSpan w:val="3"/>
            <w:shd w:val="clear" w:color="auto" w:fill="auto"/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Helvetica Neue Light" w:hAnsi="Calibri" w:cs="Times New Roman"/>
                <w:sz w:val="24"/>
                <w:szCs w:val="24"/>
                <w:bdr w:val="nil"/>
                <w:lang w:eastAsia="ru-RU"/>
              </w:rPr>
            </w:pPr>
            <w:proofErr w:type="gramStart"/>
            <w:r w:rsidRPr="002C3387">
              <w:rPr>
                <w:rFonts w:ascii="Calibri" w:eastAsia="Helvetica Neue Light" w:hAnsi="Calibri" w:cs="Times New Roman"/>
                <w:sz w:val="24"/>
                <w:szCs w:val="24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Calibri" w:eastAsia="Helvetica Neue Light" w:hAnsi="Calibri" w:cs="Times New Roman"/>
                <w:sz w:val="24"/>
                <w:szCs w:val="24"/>
                <w:bdr w:val="nil"/>
                <w:lang w:eastAsia="ru-RU"/>
              </w:rPr>
              <w:t xml:space="preserve"> требуют установления.</w:t>
            </w:r>
          </w:p>
        </w:tc>
      </w:tr>
    </w:tbl>
    <w:p w:rsidR="002C3387" w:rsidRPr="002C3387" w:rsidRDefault="002C3387" w:rsidP="002C3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Helvetica Neue Light" w:hAnsi="Cambria" w:cs="Helvetica Neue Light"/>
          <w:b/>
          <w:sz w:val="20"/>
          <w:szCs w:val="20"/>
          <w:bdr w:val="nil"/>
          <w:lang w:eastAsia="ru-RU"/>
        </w:rPr>
      </w:pPr>
    </w:p>
    <w:tbl>
      <w:tblPr>
        <w:tblW w:w="4976" w:type="pct"/>
        <w:tblInd w:w="-12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849"/>
        <w:gridCol w:w="2780"/>
      </w:tblGrid>
      <w:tr w:rsidR="002C3387" w:rsidRPr="002C3387" w:rsidTr="000868B3">
        <w:trPr>
          <w:trHeight w:val="327"/>
        </w:trPr>
        <w:tc>
          <w:tcPr>
            <w:tcW w:w="35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2C3387"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1494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/>
                <w:bCs/>
                <w:sz w:val="20"/>
                <w:szCs w:val="20"/>
                <w:bdr w:val="nil"/>
                <w:lang w:eastAsia="ru-RU"/>
              </w:rPr>
              <w:t>Примечания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подлежит установлению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1 м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1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Предельное количество надземных этажей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более 6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70%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* Объекты торговли (торговые центры, торгово-развлекательные центры (комплексы)</w:t>
            </w:r>
          </w:p>
        </w:tc>
        <w:tc>
          <w:tcPr>
            <w:tcW w:w="3025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Допускается строительство объектов капитального строительства общей площадью от 1000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141"/>
        </w:trPr>
        <w:tc>
          <w:tcPr>
            <w:tcW w:w="19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  <w:t xml:space="preserve">Размеры земельного участка одноэтажного гаража на одно </w:t>
            </w:r>
            <w:proofErr w:type="spellStart"/>
            <w:r w:rsidRPr="002C3387"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  <w:t>-место</w:t>
            </w:r>
          </w:p>
        </w:tc>
        <w:tc>
          <w:tcPr>
            <w:tcW w:w="153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  <w:t xml:space="preserve"> более 30 м</w:t>
            </w:r>
            <w:r w:rsidRPr="002C3387"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" w:hAnsi="Times New Roman" w:cs="Times New Roman"/>
                <w:bCs/>
                <w:sz w:val="20"/>
                <w:szCs w:val="20"/>
                <w:bdr w:val="nil"/>
                <w:lang w:eastAsia="ru-RU"/>
              </w:rPr>
              <w:t>п. 11.37 СП 42.13330.2016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Площадь рекламных конструкции, расположенных на фасаде зданий и сооружений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более 3% глухой поверхности фасада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  <w:t>Согласно рекомендации министерства строительства, архитектуры и жилищно-коммунального хозяйства Ставропольского края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Площадь рекламных конструкций, расположенных на фасадах зданий и сооружений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не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более 3% общей площади здания и сооружения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84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b/>
                <w:sz w:val="20"/>
                <w:szCs w:val="20"/>
                <w:bdr w:val="nil"/>
                <w:lang w:eastAsia="ru-RU"/>
              </w:rPr>
              <w:t>Нормы парковки: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572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200-220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53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100-120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53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50-60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53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Банки и банковские учреждения, кредитно-финансовые учреждения: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381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с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операционными залами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30-35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53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без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операционных залов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55-60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73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Здания театрально-зрелищные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-место на 7 зрительских мест для объектов первого уровня комфорта; на 10 зрительских мест второго уровня комфорта и на 12 зрительских мест объектов третьего уровня комфорта. Для легковых автомобилей работников и служащих – одно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10 сотрудников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 xml:space="preserve">В соответствии с п. 5.6. </w:t>
            </w:r>
            <w:hyperlink r:id="rId26" w:history="1">
              <w:r w:rsidRPr="002C3387">
                <w:rPr>
                  <w:rFonts w:ascii="Times New Roman" w:eastAsia="Calibri" w:hAnsi="Times New Roman" w:cs="Times New Roman"/>
                  <w:sz w:val="20"/>
                  <w:szCs w:val="20"/>
                  <w:bdr w:val="nil"/>
                  <w:lang w:eastAsia="ru-RU"/>
                </w:rPr>
                <w:t>СП 309.1325800</w:t>
              </w:r>
            </w:hyperlink>
            <w:r w:rsidRPr="002C3387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 xml:space="preserve">. При реконструкции требуемое число </w:t>
            </w:r>
            <w:proofErr w:type="spellStart"/>
            <w:r w:rsidRPr="002C3387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  <w:t>-мест принимается по заданию на проектирование.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73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Выставочно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6-8 единовременных посетителей</w:t>
            </w:r>
          </w:p>
        </w:tc>
        <w:tc>
          <w:tcPr>
            <w:tcW w:w="149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pacing w:val="-4"/>
                <w:sz w:val="20"/>
                <w:szCs w:val="20"/>
                <w:bdr w:val="nil"/>
                <w:lang w:eastAsia="ru-RU"/>
              </w:rPr>
              <w:t>СП 42.13330.2016 Градостроительство. Планировка и застройка городских и сельских поселений. Актуализированная редакция СНиП 2.07.01-89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566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4-5 посадочных мест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546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30-35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59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40-50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59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60-70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73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Объекты коммунально-бытового обслуживания: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632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бани</w:t>
            </w:r>
            <w:proofErr w:type="gramEnd"/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5-6 единовременных посетителей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60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ателье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10-15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11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салоны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ритуальных услуг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20-25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632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химчистки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1-2 рабочих места приемщика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632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Рынки: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35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универсальные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и непродовольственные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30-40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90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продовольственные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и сельскохозяйственные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40-50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lastRenderedPageBreak/>
              <w:t>Спортивные комплексы и стадионы с трибунами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25-30 мест на трибунах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общей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площадью менее 1000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25-40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общей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площадью 1000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и более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40-55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тренажерные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залы площадью 150-500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8255" b="5080"/>
                      <wp:docPr id="1" name="Прямоугольник 1" descr="СП 42.13330.2016 Градостроительство. Планировка и застройка городских и сельских поселений. Актуализированная редакция СНиП 2.07.01-89*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E49EF" id="Прямоугольник 1" o:spid="_x0000_s1026" alt="СП 42.13330.2016 Градостроительство. Планировка и застройка городских и сельских поселений. Актуализированная редакция СНиП 2.07.01-89* (с Изменениями N 1, 2)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8-10 единовременных посетителей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ФОК с залом площадью 1000-2000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8255" b="5080"/>
                      <wp:docPr id="4" name="Прямоугольник 4" descr="СП 42.13330.2016 Градостроительство. Планировка и застройка городских и сельских поселений. Актуализированная редакция СНиП 2.07.01-89*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E5AC6B" id="Прямоугольник 4" o:spid="_x0000_s1026" alt="СП 42.13330.2016 Градостроительство. Планировка и застройка городских и сельских поселений. Актуализированная редакция СНиП 2.07.01-89* (с Изменениями N 1, 2)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10 единовременных посетителей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ФОК с залом и бассейном общей площадью 2000-3000 м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vertAlign w:val="superscript"/>
                <w:lang w:eastAsia="ru-RU"/>
              </w:rPr>
              <w:t>2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5-7 единовременных посетителей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3-4 единовременных посетителей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484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Аквапарки, бассейны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5-7 единовременных посетителей</w:t>
            </w:r>
          </w:p>
        </w:tc>
        <w:tc>
          <w:tcPr>
            <w:tcW w:w="14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118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Поликлиники, в том числе амбулатории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10-12 из 100 сотрудников или на 4-6 из 100 посещений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D138D3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0"/>
                <w:szCs w:val="20"/>
                <w:bdr w:val="nil"/>
                <w:lang w:eastAsia="ru-RU"/>
              </w:rPr>
            </w:pPr>
            <w:hyperlink r:id="rId27" w:history="1">
              <w:r w:rsidR="002C3387" w:rsidRPr="002C3387">
                <w:rPr>
                  <w:rFonts w:ascii="Times New Roman" w:eastAsia="Helvetica Neue Light" w:hAnsi="Times New Roman" w:cs="Times New Roman"/>
                  <w:spacing w:val="-4"/>
                  <w:sz w:val="20"/>
                  <w:szCs w:val="20"/>
                  <w:bdr w:val="nil"/>
                  <w:lang w:eastAsia="ru-RU"/>
                </w:rPr>
                <w:t>СП 158.13330</w:t>
              </w:r>
            </w:hyperlink>
            <w:r w:rsidR="002C3387" w:rsidRPr="002C3387">
              <w:rPr>
                <w:rFonts w:ascii="Times New Roman" w:eastAsia="Helvetica Neue Light" w:hAnsi="Times New Roman" w:cs="Times New Roman"/>
                <w:spacing w:val="-4"/>
                <w:sz w:val="20"/>
                <w:szCs w:val="20"/>
                <w:bdr w:val="nil"/>
                <w:lang w:eastAsia="ru-RU"/>
              </w:rPr>
              <w:t>.2014 Здания и помещения медицинских организаций. Правила проектирования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632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Гостиницы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площадь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автостоянки определяют с учетом требуемого числа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D138D3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0"/>
                <w:szCs w:val="20"/>
                <w:bdr w:val="nil"/>
                <w:lang w:eastAsia="ru-RU"/>
              </w:rPr>
            </w:pPr>
            <w:hyperlink r:id="rId28" w:history="1">
              <w:r w:rsidR="002C3387" w:rsidRPr="002C3387">
                <w:rPr>
                  <w:rFonts w:ascii="Times New Roman" w:eastAsia="Helvetica Neue Light" w:hAnsi="Times New Roman" w:cs="Times New Roman"/>
                  <w:spacing w:val="-4"/>
                  <w:sz w:val="20"/>
                  <w:szCs w:val="20"/>
                  <w:bdr w:val="nil"/>
                  <w:lang w:eastAsia="ru-RU"/>
                </w:rPr>
                <w:t>СП 257.1325800</w:t>
              </w:r>
            </w:hyperlink>
            <w:r w:rsidR="002C3387" w:rsidRPr="002C3387">
              <w:rPr>
                <w:rFonts w:ascii="Times New Roman" w:eastAsia="Helvetica Neue Light" w:hAnsi="Times New Roman" w:cs="Times New Roman"/>
                <w:spacing w:val="-4"/>
                <w:sz w:val="20"/>
                <w:szCs w:val="20"/>
                <w:bdr w:val="nil"/>
                <w:lang w:eastAsia="ru-RU"/>
              </w:rPr>
              <w:t>.2016 Здания гостиниц. Правила проектирования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632"/>
        </w:trPr>
        <w:tc>
          <w:tcPr>
            <w:tcW w:w="19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5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одно</w:t>
            </w:r>
            <w:proofErr w:type="gram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машино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-место на 3-5 из 100 отдыхающих и обслуживающего персонала</w:t>
            </w:r>
          </w:p>
        </w:tc>
        <w:tc>
          <w:tcPr>
            <w:tcW w:w="14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il"/>
                <w:lang w:eastAsia="ru-RU"/>
              </w:rPr>
            </w:pP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  <w:t xml:space="preserve">Проведение работ связанных с изменением внешних поверхностей общественных зданий, строений, сооружений (в том числе облицовка фасада, создание и изменение входных групп, создание и остекление навесов, устройство террас, окраска фасадов жилых и общественных зданий, строений, сооружений), независимо от форм собственности, осуществляется в соответствии с паспортом наружной отделки и цветового решения фасада </w:t>
            </w:r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в порядке, предусмотренном постановлением администрации </w:t>
            </w:r>
            <w:proofErr w:type="spellStart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>Новоалександровского</w:t>
            </w:r>
            <w:proofErr w:type="spellEnd"/>
            <w:r w:rsidRPr="002C3387">
              <w:rPr>
                <w:rFonts w:ascii="Times New Roman" w:eastAsia="Helvetica Neue Light" w:hAnsi="Times New Roman" w:cs="Times New Roman"/>
                <w:sz w:val="20"/>
                <w:szCs w:val="20"/>
                <w:bdr w:val="nil"/>
                <w:lang w:eastAsia="ru-RU"/>
              </w:rPr>
              <w:t xml:space="preserve"> городского округа.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  <w:t>Изменение фасадов зданий, строений, сооружений, являющихся объектами культурного наследия (памятниками истории и культуры), осуществляется в соответствии с требованиями законодательства об объектах культурного наследия.</w:t>
            </w:r>
          </w:p>
          <w:p w:rsidR="002C3387" w:rsidRPr="002C3387" w:rsidRDefault="002C3387" w:rsidP="002C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eastAsia="ru-RU"/>
              </w:rPr>
              <w:t>Формирование архитектурного решения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      </w:r>
          </w:p>
        </w:tc>
      </w:tr>
      <w:tr w:rsidR="002C3387" w:rsidRPr="002C3387" w:rsidTr="000868B3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3387" w:rsidRPr="002C3387" w:rsidRDefault="002C3387" w:rsidP="002C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C33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Согласно СП 42.13330.2016 площадь озелененных территорий общего пользования должна составлять не менее 8 м</w:t>
            </w:r>
            <w:r w:rsidRPr="002C33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/чел. в г. Новоалександровске и 12 м</w:t>
            </w:r>
            <w:r w:rsidRPr="002C33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2</w:t>
            </w:r>
            <w:r w:rsidRPr="002C33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сельских населенных пунктах городского округа.</w:t>
            </w:r>
          </w:p>
        </w:tc>
      </w:tr>
    </w:tbl>
    <w:p w:rsidR="002C3387" w:rsidRPr="002C3387" w:rsidRDefault="002C3387" w:rsidP="002C33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2.2.Технические условия подключения объекта капитального строительства к сетям инженерно-технического обеспечения, срок действия технических условий, информация о плате за подключение для земельного участка с кадастровым номером 26:04:020412:412</w:t>
      </w:r>
    </w:p>
    <w:p w:rsidR="002C3387" w:rsidRPr="002C3387" w:rsidRDefault="002C3387" w:rsidP="002C33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 Электроснабжение:</w:t>
      </w:r>
    </w:p>
    <w:p w:rsidR="002C3387" w:rsidRPr="002C3387" w:rsidRDefault="002C3387" w:rsidP="002C3387">
      <w:pPr>
        <w:tabs>
          <w:tab w:val="left" w:pos="567"/>
          <w:tab w:val="left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подключения выданы филиалом ПАО «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</w:t>
      </w:r>
      <w:proofErr w:type="gram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Кавказ»-</w:t>
      </w:r>
      <w:proofErr w:type="gram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«Ставропольэнерго» - Новотроицкие электрические сети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№16/3нэс.01/166-исх-ПО от 27.04.2021. Конкретные условия технологического присоединения объектов к сетям электроснабжения определяются при подаче соответствующей заявки в вышеуказанную организацию. Плата за подключение к сетям электроснабжения определяется исходя из конкретных условий технологического присоединения.</w:t>
      </w:r>
    </w:p>
    <w:p w:rsidR="002C3387" w:rsidRPr="002C3387" w:rsidRDefault="002C3387" w:rsidP="002C338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филиала ПАО «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Россети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Северный </w:t>
      </w:r>
      <w:proofErr w:type="gramStart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Кавказ»-</w:t>
      </w:r>
      <w:proofErr w:type="gramEnd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«Ставропольэнерго» - Новотроицкие электрические сети по техническим условиям, размещен на официальном Интернет-портале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</w:t>
      </w:r>
      <w:r w:rsidRPr="002C3387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(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>www.newalexandrovsk.ru</w:t>
      </w:r>
      <w:r w:rsidRPr="002C3387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)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официальном сайте Российской Федерации </w:t>
      </w:r>
      <w:hyperlink r:id="rId29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www.torgi.gov.ru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приложения к извещению.</w:t>
      </w:r>
    </w:p>
    <w:p w:rsidR="002C3387" w:rsidRPr="002C3387" w:rsidRDefault="002C3387" w:rsidP="002C33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Газоснабжение:</w:t>
      </w:r>
    </w:p>
    <w:p w:rsidR="002C3387" w:rsidRPr="002C3387" w:rsidRDefault="002C3387" w:rsidP="002C3387">
      <w:pPr>
        <w:tabs>
          <w:tab w:val="left" w:pos="567"/>
          <w:tab w:val="left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АО «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Новоалександровскрайгаз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24.07.2023г. №701 по техническим условиям, размещен на официальном Интернет-портале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</w:t>
      </w:r>
      <w:r w:rsidRPr="002C3387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(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www.newalexandrovsk.ru</w:t>
      </w:r>
      <w:r w:rsidRPr="002C3387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)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официальном сайте Российской Федерации </w:t>
      </w:r>
      <w:hyperlink r:id="rId30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приложения к извещению.</w:t>
      </w:r>
    </w:p>
    <w:p w:rsidR="002C3387" w:rsidRPr="002C3387" w:rsidRDefault="002C3387" w:rsidP="002C33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Водоснабжение:</w:t>
      </w:r>
    </w:p>
    <w:p w:rsidR="002C3387" w:rsidRPr="002C3387" w:rsidRDefault="002C3387" w:rsidP="002C3387">
      <w:pPr>
        <w:tabs>
          <w:tab w:val="left" w:pos="567"/>
          <w:tab w:val="left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МП НГО СК «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Расшеватский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</w:t>
      </w:r>
      <w:r w:rsidR="00D1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возможности   подключения №24 от 16.06.2021 г.  </w:t>
      </w:r>
      <w:proofErr w:type="gram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proofErr w:type="gram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Интернет-портале 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</w:t>
      </w:r>
      <w:r w:rsidRPr="002C3387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(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www.newalexandrovsk.ru</w:t>
      </w:r>
      <w:r w:rsidRPr="002C3387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)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официальном сайте Российской Федерации </w:t>
      </w:r>
      <w:hyperlink r:id="rId31" w:history="1">
        <w:r w:rsidRPr="002C3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приложения к извещению.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фактическом состоянии земельного участка: доступ к земельному участку возможен по существующей дороге, расположенной на землях кадастрового квартала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/>
        </w:rPr>
        <w:t>26:04:020412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земельного участка на местности производится заинтересованными лицами самостоятельно.   </w:t>
      </w:r>
    </w:p>
    <w:p w:rsidR="002C3387" w:rsidRPr="002C3387" w:rsidRDefault="002C3387" w:rsidP="002C33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87" w:rsidRPr="002C3387" w:rsidRDefault="002C3387" w:rsidP="002C338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Требования к заявителям на участие в аукционе, порядок регистрации на электронной площадке:</w:t>
      </w:r>
    </w:p>
    <w:p w:rsidR="002C3387" w:rsidRPr="002C3387" w:rsidRDefault="002C3387" w:rsidP="002C3387">
      <w:pPr>
        <w:widowControl w:val="0"/>
        <w:spacing w:after="33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физическое лицо, в том числе индивидуальный предприниматель, претендующие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"Сбербанк-АСТ" (далее - электронная площадка) по адресу: </w:t>
      </w:r>
      <w:hyperlink r:id="rId32" w:history="1"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proofErr w:type="spellStart"/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utp</w:t>
        </w:r>
        <w:proofErr w:type="spellEnd"/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sberbank</w:t>
        </w:r>
        <w:proofErr w:type="spellEnd"/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-</w:t>
        </w:r>
        <w:proofErr w:type="spellStart"/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ast</w:t>
        </w:r>
        <w:proofErr w:type="spellEnd"/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2C33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2C33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Регламентом универсальной торговой платформы АО "Сбербанк -АСТ".</w:t>
      </w:r>
    </w:p>
    <w:p w:rsidR="002C3387" w:rsidRPr="002C3387" w:rsidRDefault="002C3387" w:rsidP="002C3387">
      <w:pPr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Подача, изменение, отзыв заявки на участие в аукционе: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 xml:space="preserve">Подача заявки на участие в аукционе (далее - заявка) осуществляется только посредствам интерфейса универсальной торговой платформы АО "Сбербанк - </w:t>
      </w: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lastRenderedPageBreak/>
        <w:t>АСТ" торговой секции "Приватизация, аренда и продажа прав" из личного кабинета заявителя (представителя заявителя).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 xml:space="preserve">Инструкция по работе в торговой секции "Приватизация, аренда и продажа прав" универсальной торговой платформы АО "Сбербанк - АСТ" размещена по адресу: 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utp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sberbank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ast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proofErr w:type="spellStart"/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AP</w:t>
      </w: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Notice</w:t>
      </w: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/652/</w:t>
      </w:r>
      <w:r w:rsidRPr="002C338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Instructions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Заявка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следующих документов: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-копии документов, удостоверяющих личность заявителя (для граждан);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-документы, подтверждающие внесение задатка.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 подачи заявки представителем заявителя к заявке на участие в электронном аукционе прикладывается файл документа, подтверждающего его полномочия (доверенность).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 и копию паспорта уполномоченного лица.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доверенности на осуществление действий от имени заявителя, указываются полномочия для участия в аукционе, а именно: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-подписывать заявки на участие в аукционе в электронной форме;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-делать предложения по цене в день проведения аукциона;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-подписывать протокол о результатах аукциона в случае признания победителем аукциона;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-заключать и подписывать договор аренды земельного участка по результатам аукциона.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Заявка, а также прилагаемые к ней документы подписываются усиленной квалифицированной электронной подписью заявителя.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Один заявитель вправе подать только одну заявку на участие в аукционе по каждому лоту.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Заявка не может быть принята Оператором электронной площадки в случаях: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-подачи заявки по истечении установленного срока подачи заявок;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-некорректного заполнения формы заявки, в том числе не заполнения полей, являющихся обязательными для заполнения.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До окончания срока подачи заявки заявитель, подавший заявку, вправе изменить или отозвать ее.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lastRenderedPageBreak/>
        <w:t>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 за участие в аукционе.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заявителя в течение одного дня, следующего за днем размещения протокола об определении участников по лоту.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2C3387" w:rsidRPr="002C3387" w:rsidRDefault="002C3387" w:rsidP="002C3387">
      <w:pPr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Порядок внесения и возврата задатка для участия в аукционе: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Оплата задатка для участия в аукционе (далее - задаток)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целях исполнения требований о внесении задатка заявитель обеспечивает наличие денежных средств на счёте Оператора электронной площадки в размере 100% (процентов) начальной цены предмета аукциона, указанном в извещении.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Получатель платежа: АО " Сбербанк- АСТ"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Банковские реквизиты: ПАО "Сбербанк России" г. Москва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БИК 044525225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Расчетный счет: 40702810300020038047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Корреспондентский счет: 30101810400000000225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ИНН 7707308480 КПП 770401001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Назначение платежа: "Перечисление денежных средств в качестве задатка, ИНН плательщика, НДС не облагается".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 xml:space="preserve">Образец платежного поручения приведен на электронной площадке по адресу: </w:t>
      </w:r>
      <w:hyperlink r:id="rId33" w:history="1"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https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://</w:t>
        </w:r>
        <w:proofErr w:type="spellStart"/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utp</w:t>
        </w:r>
        <w:proofErr w:type="spellEnd"/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sberbank</w:t>
        </w:r>
        <w:proofErr w:type="spellEnd"/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-</w:t>
        </w:r>
        <w:proofErr w:type="spellStart"/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ast</w:t>
        </w:r>
        <w:proofErr w:type="spellEnd"/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/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Main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/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Notice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/697/</w:t>
        </w:r>
        <w:r w:rsidRPr="002C33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Requisites</w:t>
        </w:r>
      </w:hyperlink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 если от имени заявителя действует уполномоченное лицо, задаток подлежит перечислению от лица, подающего заявку.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Денежные средства, перечисленные за участника третьим лицом, не зачисляются на счет такого участника.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Операции по перечислению денежных средств на счете Оператора электронной площадки учитываются на аналитическом счете заявителя, организованном Оператором электронной площадки.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Денежные средства в размере, равном задатку в размере 100% (процентов) начальной цены предмета аукциона, указанному в извещении, блокируются Оператором электронной площадки на аналитическом счете заявителя.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Возврат задатка осуществляется в соответствии с регламентом Оператора электронной площадки: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lastRenderedPageBreak/>
        <w:t>- вывод денежных средств с лицевого счета заявителя на универсальной торговой площадке осуществляется на основании заявления на вывод денежных средств, сформированного пользователем в своем Личном кабинете на универсальной торговой площадке (в подразделе "Мои заявления на вывод средств" раздела "Счета").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Возврат денежных средств осуществляется на банковские реквизиты, указанные в регистрационных данных заявителя на универсальной торговой площадке.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Комиссия за вывод денежных средств с электронной площадки не взимается.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Ориентировочный срок поступления денежных средств на счет в Банке с момента вывода денежных средств с электронной площадки - до 3 рабочих дней.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Задаток победителя аукциона в электронной форме,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Задатки, внесенные указанными лицами, не заключившими в установленном в извещении порядке договор аренды земельного участка вследствие уклонения от заключения указанного договора, не возвращаются.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Перечисление задатка арендодателю в счет арендной платы за земельный участок осуществляется Оператором электронной площадки.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Порядок рассмотрения заявок на аукционе, порядок проведения аукциона 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Порядок рассмотрения заявок на аукционе, порядок проведения аукциона р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егламентирован статьями 39.11-39.13 Земельного кодекса Российской Федерации, а также определен </w:t>
      </w: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инструкцией по работе в торговой секции "Приватизация, аренда и продажа прав" универсальной торговой платформы АО "Сбербанк - АСТ".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2C3387" w:rsidRPr="002C3387" w:rsidRDefault="002C3387" w:rsidP="002C338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Условия и сроки заключения договора аренды земельного участка: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 результатам проведения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Если аукцион состоялся, то в течение 5 (пяти) дней со дня истечения 10-дневного срока со дня размещения соответствующего протокола Организатор аукциона направляет победителю аукциона или единственному участнику подписанный проект договора аренды земельного участка, который следует подписать и представить в адрес Организатора аукциона в течение 30 (тридцати) дней.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lastRenderedPageBreak/>
        <w:t>По результатам проведения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случае, если победитель аукциона или иное лицо, с которым заключается договор аренды земельного участка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2C3387" w:rsidRPr="002C3387" w:rsidRDefault="002C3387" w:rsidP="002C338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Отказ от проведения аукциона: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Организатор аукциона может принять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решения.</w:t>
      </w:r>
    </w:p>
    <w:p w:rsidR="002C3387" w:rsidRPr="002C3387" w:rsidRDefault="002C3387" w:rsidP="002C338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 w:bidi="ru-RU"/>
        </w:rPr>
        <w:t>Заключительные положения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2C3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</w:t>
      </w:r>
      <w:r w:rsidRPr="002C33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"Сбербанк-АСТ"</w:t>
      </w: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2C3387" w:rsidRPr="002C3387" w:rsidRDefault="002C3387" w:rsidP="002C33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2C3387" w:rsidRPr="00BA652B" w:rsidRDefault="002C3387" w:rsidP="002C33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3387" w:rsidRPr="00BA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D67"/>
    <w:multiLevelType w:val="hybridMultilevel"/>
    <w:tmpl w:val="F79E0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B3F06"/>
    <w:multiLevelType w:val="singleLevel"/>
    <w:tmpl w:val="22CB3F06"/>
    <w:lvl w:ilvl="0">
      <w:start w:val="1"/>
      <w:numFmt w:val="decimal"/>
      <w:suff w:val="space"/>
      <w:lvlText w:val="%1."/>
      <w:lvlJc w:val="left"/>
    </w:lvl>
  </w:abstractNum>
  <w:abstractNum w:abstractNumId="2">
    <w:nsid w:val="5B156E38"/>
    <w:multiLevelType w:val="hybridMultilevel"/>
    <w:tmpl w:val="98404C30"/>
    <w:lvl w:ilvl="0" w:tplc="925C3F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0A3F8A"/>
    <w:multiLevelType w:val="singleLevel"/>
    <w:tmpl w:val="22CB3F0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B0"/>
    <w:rsid w:val="000939DF"/>
    <w:rsid w:val="000A55B0"/>
    <w:rsid w:val="002C3387"/>
    <w:rsid w:val="0049256B"/>
    <w:rsid w:val="00891E37"/>
    <w:rsid w:val="00BA652B"/>
    <w:rsid w:val="00D138D3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EC28-F384-4286-92AD-6A5B74F4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2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256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56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25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56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256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9256B"/>
  </w:style>
  <w:style w:type="paragraph" w:customStyle="1" w:styleId="12">
    <w:name w:val="çàãîëîâîê 1"/>
    <w:basedOn w:val="a"/>
    <w:next w:val="a"/>
    <w:rsid w:val="0049256B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49256B"/>
  </w:style>
  <w:style w:type="paragraph" w:customStyle="1" w:styleId="21">
    <w:name w:val="Основной текст 21"/>
    <w:basedOn w:val="a"/>
    <w:rsid w:val="0049256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92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49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aaieiaie1">
    <w:name w:val="caaieiaie 1"/>
    <w:basedOn w:val="a"/>
    <w:next w:val="a"/>
    <w:rsid w:val="004925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925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925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qFormat/>
    <w:rsid w:val="0049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rsid w:val="004925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4925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256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9256B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a">
    <w:name w:val="Body Text Indent"/>
    <w:basedOn w:val="a"/>
    <w:link w:val="ab"/>
    <w:rsid w:val="0049256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925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а"/>
    <w:basedOn w:val="a"/>
    <w:link w:val="ad"/>
    <w:qFormat/>
    <w:rsid w:val="0049256B"/>
    <w:pPr>
      <w:widowControl w:val="0"/>
      <w:spacing w:before="60" w:after="60" w:line="276" w:lineRule="auto"/>
      <w:jc w:val="both"/>
    </w:pPr>
    <w:rPr>
      <w:rFonts w:ascii="Arial" w:eastAsia="Calibri" w:hAnsi="Arial" w:cs="Times New Roman"/>
      <w:sz w:val="20"/>
      <w:lang w:val="en-US"/>
    </w:rPr>
  </w:style>
  <w:style w:type="character" w:customStyle="1" w:styleId="ad">
    <w:name w:val="Таблица Знак"/>
    <w:link w:val="ac"/>
    <w:rsid w:val="0049256B"/>
    <w:rPr>
      <w:rFonts w:ascii="Arial" w:eastAsia="Calibri" w:hAnsi="Arial" w:cs="Times New Roman"/>
      <w:sz w:val="20"/>
      <w:lang w:val="en-US"/>
    </w:rPr>
  </w:style>
  <w:style w:type="character" w:styleId="ae">
    <w:name w:val="Hyperlink"/>
    <w:uiPriority w:val="99"/>
    <w:unhideWhenUsed/>
    <w:rsid w:val="0049256B"/>
    <w:rPr>
      <w:color w:val="0563C1"/>
      <w:u w:val="single"/>
    </w:rPr>
  </w:style>
  <w:style w:type="paragraph" w:styleId="af">
    <w:name w:val="header"/>
    <w:basedOn w:val="a"/>
    <w:link w:val="af0"/>
    <w:uiPriority w:val="99"/>
    <w:unhideWhenUsed/>
    <w:rsid w:val="00492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2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49256B"/>
    <w:rPr>
      <w:b/>
      <w:bCs/>
    </w:rPr>
  </w:style>
  <w:style w:type="character" w:customStyle="1" w:styleId="x-phmenubuttonx-phmenubuttonauth">
    <w:name w:val="x-ph__menu__button x-ph__menu__button_auth"/>
    <w:rsid w:val="0049256B"/>
  </w:style>
  <w:style w:type="character" w:styleId="af4">
    <w:name w:val="FollowedHyperlink"/>
    <w:uiPriority w:val="99"/>
    <w:semiHidden/>
    <w:unhideWhenUsed/>
    <w:rsid w:val="0049256B"/>
    <w:rPr>
      <w:color w:val="954F72"/>
      <w:u w:val="single"/>
    </w:rPr>
  </w:style>
  <w:style w:type="table" w:customStyle="1" w:styleId="5">
    <w:name w:val="Сетка таблицы5"/>
    <w:basedOn w:val="a1"/>
    <w:next w:val="a6"/>
    <w:uiPriority w:val="59"/>
    <w:rsid w:val="004925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925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4925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925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49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qFormat/>
    <w:rsid w:val="0049256B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qFormat/>
    <w:rsid w:val="004925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qFormat/>
    <w:rsid w:val="004925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link w:val="40"/>
    <w:qFormat/>
    <w:rsid w:val="0049256B"/>
    <w:pPr>
      <w:widowControl w:val="0"/>
      <w:shd w:val="clear" w:color="auto" w:fill="FFFFFF"/>
      <w:spacing w:before="300" w:after="6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Основной текст (4)_"/>
    <w:link w:val="41"/>
    <w:qFormat/>
    <w:rsid w:val="0049256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20">
    <w:name w:val="Основной текст (2)2"/>
    <w:link w:val="25"/>
    <w:qFormat/>
    <w:rsid w:val="0049256B"/>
    <w:pPr>
      <w:widowControl w:val="0"/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 + Полужирный"/>
    <w:qFormat/>
    <w:rsid w:val="00492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link w:val="220"/>
    <w:qFormat/>
    <w:rsid w:val="0049256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7">
    <w:name w:val="Основной текст (2)"/>
    <w:qFormat/>
    <w:rsid w:val="004925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4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49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2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BA652B"/>
  </w:style>
  <w:style w:type="paragraph" w:customStyle="1" w:styleId="221">
    <w:name w:val="Основной текст 22"/>
    <w:basedOn w:val="a"/>
    <w:rsid w:val="00BA652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1">
    <w:name w:val="Сетка таблицы7"/>
    <w:basedOn w:val="a1"/>
    <w:next w:val="a6"/>
    <w:uiPriority w:val="59"/>
    <w:qFormat/>
    <w:rsid w:val="00B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BA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BA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BA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BA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qFormat/>
    <w:rsid w:val="00BA65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qFormat/>
    <w:rsid w:val="00BA65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C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" TargetMode="External"/><Relationship Id="rId26" Type="http://schemas.openxmlformats.org/officeDocument/2006/relationships/hyperlink" Target="http://docs.cntd.ru/document/5566869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tp.sberbank-as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tp.sberbank-ast.ru/Main/Notice/988/Reglament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https://login.consultant.ru/link/?req=doc&amp;base=LAW&amp;n=446195&amp;date=08.06.2023&amp;dst=101232&amp;field=134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s://utp.sberbank-ast.ru/Main/Notice/697/Requisi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6195&amp;date=08.06.2023&amp;dst=702&amp;field=134" TargetMode="External"/><Relationship Id="rId20" Type="http://schemas.openxmlformats.org/officeDocument/2006/relationships/hyperlink" Target="https://utp.sberbank-ast.ru/Main/Notice/988/Reglament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Main/Notice/988/Reglament" TargetMode="External"/><Relationship Id="rId11" Type="http://schemas.openxmlformats.org/officeDocument/2006/relationships/hyperlink" Target="mailto:anmrsk@bk.ru" TargetMode="External"/><Relationship Id="rId24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32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6195&amp;date=08.06.2023&amp;dst=690&amp;field=134" TargetMode="External"/><Relationship Id="rId23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8" Type="http://schemas.openxmlformats.org/officeDocument/2006/relationships/hyperlink" Target="http://docs.cntd.ru/document/456040113" TargetMode="External"/><Relationship Id="rId10" Type="http://schemas.openxmlformats.org/officeDocument/2006/relationships/hyperlink" Target="https://utp.sberbank-ast.ru/AP/Notice/1027/Instructions" TargetMode="External"/><Relationship Id="rId19" Type="http://schemas.openxmlformats.org/officeDocument/2006/relationships/hyperlink" Target="https://utp.sberbank-ast.ru/Main/Notice/988/Reglament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AP/Notice/1027/Instructions" TargetMode="External"/><Relationship Id="rId14" Type="http://schemas.openxmlformats.org/officeDocument/2006/relationships/hyperlink" Target="https://login.consultant.ru/link/?req=doc&amp;base=LAW&amp;n=446195&amp;date=08.06.2023&amp;dst=689&amp;field=134" TargetMode="External"/><Relationship Id="rId22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7" Type="http://schemas.openxmlformats.org/officeDocument/2006/relationships/hyperlink" Target="http://docs.cntd.ru/document/1200110514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3BAC-9C8B-4E3A-A5D9-1DFE900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8388</Words>
  <Characters>47816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Ольга Зайцева</cp:lastModifiedBy>
  <cp:revision>7</cp:revision>
  <dcterms:created xsi:type="dcterms:W3CDTF">2023-06-09T10:45:00Z</dcterms:created>
  <dcterms:modified xsi:type="dcterms:W3CDTF">2023-08-25T12:40:00Z</dcterms:modified>
</cp:coreProperties>
</file>